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A78091">
      <w:pPr>
        <w:jc w:val="center"/>
        <w:rPr>
          <w:rFonts w:ascii="方正小标宋简体" w:hAnsi="华文中宋" w:eastAsia="方正小标宋简体"/>
          <w:bCs/>
          <w:sz w:val="44"/>
          <w:szCs w:val="44"/>
        </w:rPr>
      </w:pPr>
      <w:r>
        <w:rPr>
          <w:rFonts w:hint="eastAsia" w:ascii="方正小标宋简体" w:hAnsi="华文中宋" w:eastAsia="方正小标宋简体"/>
          <w:bCs/>
          <w:sz w:val="44"/>
          <w:szCs w:val="44"/>
        </w:rPr>
        <w:t>标的物介绍</w:t>
      </w:r>
    </w:p>
    <w:p w14:paraId="0715FAE6">
      <w:pPr>
        <w:rPr>
          <w:rFonts w:ascii="黑体" w:hAnsi="黑体" w:eastAsia="黑体"/>
          <w:b/>
          <w:bCs/>
          <w:sz w:val="32"/>
          <w:szCs w:val="32"/>
        </w:rPr>
      </w:pPr>
      <w:r>
        <w:rPr>
          <w:rFonts w:hint="eastAsia" w:ascii="黑体" w:hAnsi="黑体" w:eastAsia="黑体"/>
          <w:b/>
          <w:bCs/>
          <w:sz w:val="32"/>
          <w:szCs w:val="32"/>
        </w:rPr>
        <w:t>一、基本情况</w:t>
      </w:r>
    </w:p>
    <w:p w14:paraId="19030A3D">
      <w:pPr>
        <w:spacing w:line="360" w:lineRule="auto"/>
        <w:ind w:firstLine="810" w:firstLineChars="252"/>
        <w:rPr>
          <w:rFonts w:ascii="仿宋_GB2312" w:hAnsi="仿宋" w:eastAsia="仿宋_GB2312"/>
          <w:sz w:val="32"/>
          <w:szCs w:val="32"/>
          <w:u w:val="single"/>
        </w:rPr>
      </w:pPr>
      <w:bookmarkStart w:id="0" w:name="_Hlk89712118"/>
      <w:r>
        <w:rPr>
          <w:rFonts w:hint="eastAsia" w:ascii="仿宋_GB2312" w:hAnsi="仿宋" w:eastAsia="仿宋_GB2312"/>
          <w:b/>
          <w:bCs/>
          <w:sz w:val="32"/>
          <w:szCs w:val="32"/>
          <w:u w:val="single"/>
          <w:lang w:val="en-US" w:eastAsia="zh-CN"/>
        </w:rPr>
        <w:t>江门世纪淘宝商城单户债权</w:t>
      </w:r>
      <w:r>
        <w:rPr>
          <w:rFonts w:hint="eastAsia" w:ascii="仿宋_GB2312" w:hAnsi="仿宋" w:eastAsia="仿宋_GB2312"/>
          <w:sz w:val="32"/>
          <w:szCs w:val="32"/>
          <w:u w:val="single"/>
        </w:rPr>
        <w:t>（下称“标的债权”），截至处置基准日</w:t>
      </w:r>
      <w:r>
        <w:rPr>
          <w:rFonts w:ascii="仿宋_GB2312" w:hAnsi="仿宋" w:eastAsia="仿宋_GB2312"/>
          <w:sz w:val="32"/>
          <w:szCs w:val="32"/>
          <w:u w:val="single"/>
        </w:rPr>
        <w:t>202</w:t>
      </w:r>
      <w:r>
        <w:rPr>
          <w:rFonts w:hint="eastAsia" w:ascii="仿宋_GB2312" w:hAnsi="仿宋" w:eastAsia="仿宋_GB2312"/>
          <w:sz w:val="32"/>
          <w:szCs w:val="32"/>
          <w:u w:val="single"/>
          <w:lang w:val="en-US" w:eastAsia="zh-CN"/>
        </w:rPr>
        <w:t>6</w:t>
      </w:r>
      <w:r>
        <w:rPr>
          <w:rFonts w:ascii="仿宋_GB2312" w:hAnsi="仿宋" w:eastAsia="仿宋_GB2312"/>
          <w:sz w:val="32"/>
          <w:szCs w:val="32"/>
          <w:u w:val="single"/>
        </w:rPr>
        <w:t>年</w:t>
      </w:r>
      <w:r>
        <w:rPr>
          <w:rFonts w:hint="eastAsia" w:ascii="仿宋_GB2312" w:hAnsi="仿宋" w:eastAsia="仿宋_GB2312"/>
          <w:sz w:val="32"/>
          <w:szCs w:val="32"/>
          <w:u w:val="single"/>
          <w:lang w:val="en-US" w:eastAsia="zh-CN"/>
        </w:rPr>
        <w:t>6</w:t>
      </w:r>
      <w:r>
        <w:rPr>
          <w:rFonts w:ascii="仿宋_GB2312" w:hAnsi="仿宋" w:eastAsia="仿宋_GB2312"/>
          <w:sz w:val="32"/>
          <w:szCs w:val="32"/>
          <w:u w:val="single"/>
        </w:rPr>
        <w:t>月3</w:t>
      </w:r>
      <w:r>
        <w:rPr>
          <w:rFonts w:hint="eastAsia" w:ascii="仿宋_GB2312" w:hAnsi="仿宋" w:eastAsia="仿宋_GB2312"/>
          <w:sz w:val="32"/>
          <w:szCs w:val="32"/>
          <w:u w:val="single"/>
          <w:lang w:val="en-US" w:eastAsia="zh-CN"/>
        </w:rPr>
        <w:t>0</w:t>
      </w:r>
      <w:r>
        <w:rPr>
          <w:rFonts w:ascii="仿宋_GB2312" w:hAnsi="仿宋" w:eastAsia="仿宋_GB2312"/>
          <w:sz w:val="32"/>
          <w:szCs w:val="32"/>
          <w:u w:val="single"/>
        </w:rPr>
        <w:t>日，</w:t>
      </w:r>
      <w:r>
        <w:rPr>
          <w:rFonts w:hint="eastAsia" w:ascii="仿宋_GB2312" w:hAnsi="仿宋" w:eastAsia="仿宋_GB2312"/>
          <w:sz w:val="32"/>
          <w:szCs w:val="32"/>
          <w:u w:val="single"/>
          <w:lang w:val="en-US" w:eastAsia="zh-CN"/>
        </w:rPr>
        <w:t>标的</w:t>
      </w:r>
      <w:r>
        <w:rPr>
          <w:rFonts w:ascii="仿宋_GB2312" w:hAnsi="仿宋" w:eastAsia="仿宋_GB2312"/>
          <w:sz w:val="32"/>
          <w:szCs w:val="32"/>
          <w:u w:val="single"/>
        </w:rPr>
        <w:t>债权</w:t>
      </w:r>
      <w:r>
        <w:rPr>
          <w:rFonts w:hint="eastAsia" w:ascii="仿宋_GB2312" w:hAnsi="仿宋" w:eastAsia="仿宋_GB2312"/>
          <w:sz w:val="32"/>
          <w:szCs w:val="32"/>
          <w:u w:val="single"/>
          <w:lang w:val="en-US" w:eastAsia="zh-CN"/>
        </w:rPr>
        <w:t>金额</w:t>
      </w:r>
      <w:bookmarkStart w:id="1" w:name="_GoBack"/>
      <w:bookmarkEnd w:id="1"/>
      <w:r>
        <w:rPr>
          <w:rFonts w:hint="eastAsia" w:ascii="仿宋_GB2312" w:hAnsi="仿宋" w:eastAsia="仿宋_GB2312"/>
          <w:sz w:val="32"/>
          <w:szCs w:val="32"/>
          <w:u w:val="single"/>
          <w:lang w:val="en-US" w:eastAsia="zh-CN"/>
        </w:rPr>
        <w:t>合计3,616.53万元</w:t>
      </w:r>
      <w:r>
        <w:rPr>
          <w:rFonts w:ascii="仿宋_GB2312" w:hAnsi="仿宋" w:eastAsia="仿宋_GB2312"/>
          <w:sz w:val="32"/>
          <w:szCs w:val="32"/>
          <w:u w:val="single"/>
        </w:rPr>
        <w:t>。</w:t>
      </w:r>
    </w:p>
    <w:bookmarkEnd w:id="0"/>
    <w:p w14:paraId="51A89E67">
      <w:pPr>
        <w:spacing w:line="360" w:lineRule="auto"/>
        <w:ind w:firstLine="806" w:firstLineChars="252"/>
        <w:rPr>
          <w:rFonts w:ascii="仿宋_GB2312" w:hAnsi="仿宋" w:eastAsia="仿宋_GB2312"/>
          <w:sz w:val="32"/>
          <w:szCs w:val="32"/>
        </w:rPr>
      </w:pPr>
      <w:r>
        <w:rPr>
          <w:rFonts w:hint="eastAsia" w:ascii="仿宋_GB2312" w:hAnsi="仿宋" w:eastAsia="仿宋_GB2312"/>
          <w:sz w:val="32"/>
          <w:szCs w:val="32"/>
        </w:rPr>
        <w:t>具体情况如下：</w:t>
      </w:r>
    </w:p>
    <w:p w14:paraId="2363D2F5">
      <w:pPr>
        <w:spacing w:line="360" w:lineRule="auto"/>
        <w:jc w:val="right"/>
        <w:rPr>
          <w:rFonts w:ascii="仿宋_GB2312" w:hAnsi="仿宋" w:eastAsia="仿宋_GB2312"/>
          <w:sz w:val="32"/>
          <w:szCs w:val="32"/>
        </w:rPr>
      </w:pPr>
      <w:r>
        <w:rPr>
          <w:rFonts w:hint="eastAsia" w:ascii="仿宋_GB2312" w:hAnsi="仿宋" w:eastAsia="仿宋_GB2312"/>
          <w:sz w:val="32"/>
          <w:szCs w:val="32"/>
        </w:rPr>
        <w:t>单位：人民币/万元</w:t>
      </w:r>
    </w:p>
    <w:tbl>
      <w:tblPr>
        <w:tblStyle w:val="12"/>
        <w:tblW w:w="52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475"/>
        <w:gridCol w:w="971"/>
        <w:gridCol w:w="1128"/>
        <w:gridCol w:w="1238"/>
        <w:gridCol w:w="2738"/>
        <w:gridCol w:w="1466"/>
        <w:gridCol w:w="973"/>
      </w:tblGrid>
      <w:tr w14:paraId="3B8DB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14" w:hRule="atLeast"/>
          <w:tblHeader/>
          <w:jc w:val="center"/>
        </w:trPr>
        <w:tc>
          <w:tcPr>
            <w:tcW w:w="264" w:type="pct"/>
            <w:shd w:val="clear" w:color="auto" w:fill="FFFFFF"/>
            <w:vAlign w:val="center"/>
          </w:tcPr>
          <w:p w14:paraId="6432D1FA">
            <w:pPr>
              <w:jc w:val="center"/>
              <w:rPr>
                <w:rFonts w:ascii="仿宋_GB2312" w:hAnsi="Times New Roman" w:eastAsia="仿宋_GB2312" w:cs="Times New Roman"/>
                <w:b/>
                <w:szCs w:val="21"/>
              </w:rPr>
            </w:pPr>
            <w:r>
              <w:rPr>
                <w:rFonts w:hint="eastAsia" w:ascii="仿宋_GB2312" w:hAnsi="Times New Roman" w:eastAsia="仿宋_GB2312" w:cs="Times New Roman"/>
                <w:b/>
                <w:szCs w:val="21"/>
              </w:rPr>
              <w:t>序号</w:t>
            </w:r>
          </w:p>
        </w:tc>
        <w:tc>
          <w:tcPr>
            <w:tcW w:w="539" w:type="pct"/>
            <w:shd w:val="clear" w:color="auto" w:fill="FFFFFF"/>
            <w:vAlign w:val="center"/>
          </w:tcPr>
          <w:p w14:paraId="660FAE0F">
            <w:pPr>
              <w:jc w:val="center"/>
              <w:rPr>
                <w:rFonts w:ascii="仿宋_GB2312" w:hAnsi="Times New Roman" w:eastAsia="仿宋_GB2312" w:cs="Times New Roman"/>
                <w:b/>
                <w:szCs w:val="21"/>
              </w:rPr>
            </w:pPr>
            <w:r>
              <w:rPr>
                <w:rFonts w:hint="eastAsia" w:ascii="仿宋_GB2312" w:hAnsi="Times New Roman" w:eastAsia="仿宋_GB2312" w:cs="Times New Roman"/>
                <w:b/>
                <w:szCs w:val="21"/>
              </w:rPr>
              <w:t>借款人名称</w:t>
            </w:r>
          </w:p>
        </w:tc>
        <w:tc>
          <w:tcPr>
            <w:tcW w:w="627" w:type="pct"/>
            <w:shd w:val="clear" w:color="auto" w:fill="FFFFFF"/>
            <w:vAlign w:val="center"/>
          </w:tcPr>
          <w:p w14:paraId="2377A0AE">
            <w:pPr>
              <w:jc w:val="center"/>
              <w:rPr>
                <w:rFonts w:ascii="仿宋_GB2312" w:hAnsi="Times New Roman" w:eastAsia="仿宋_GB2312" w:cs="Times New Roman"/>
                <w:b/>
                <w:szCs w:val="21"/>
              </w:rPr>
            </w:pPr>
            <w:r>
              <w:rPr>
                <w:rFonts w:hint="eastAsia" w:ascii="仿宋_GB2312" w:hAnsi="Times New Roman" w:eastAsia="仿宋_GB2312" w:cs="Times New Roman"/>
                <w:b/>
                <w:szCs w:val="21"/>
              </w:rPr>
              <w:t>本金</w:t>
            </w:r>
          </w:p>
        </w:tc>
        <w:tc>
          <w:tcPr>
            <w:tcW w:w="688" w:type="pct"/>
            <w:shd w:val="clear" w:color="auto" w:fill="FFFFFF"/>
            <w:vAlign w:val="center"/>
          </w:tcPr>
          <w:p w14:paraId="1633D0BF">
            <w:pPr>
              <w:jc w:val="center"/>
              <w:rPr>
                <w:rFonts w:ascii="仿宋_GB2312" w:hAnsi="Times New Roman" w:eastAsia="仿宋_GB2312" w:cs="Times New Roman"/>
                <w:b/>
                <w:szCs w:val="21"/>
              </w:rPr>
            </w:pPr>
            <w:r>
              <w:rPr>
                <w:rFonts w:hint="eastAsia" w:ascii="仿宋_GB2312" w:hAnsi="Times New Roman" w:eastAsia="仿宋_GB2312" w:cs="Times New Roman"/>
                <w:b/>
                <w:szCs w:val="21"/>
              </w:rPr>
              <w:t>债权金额</w:t>
            </w:r>
          </w:p>
        </w:tc>
        <w:tc>
          <w:tcPr>
            <w:tcW w:w="1522" w:type="pct"/>
            <w:shd w:val="clear" w:color="auto" w:fill="FFFFFF"/>
            <w:vAlign w:val="center"/>
          </w:tcPr>
          <w:p w14:paraId="1A8F3710">
            <w:pPr>
              <w:jc w:val="center"/>
              <w:rPr>
                <w:rFonts w:ascii="仿宋_GB2312" w:hAnsi="Times New Roman" w:eastAsia="仿宋_GB2312" w:cs="Times New Roman"/>
                <w:b/>
                <w:szCs w:val="21"/>
              </w:rPr>
            </w:pPr>
            <w:r>
              <w:rPr>
                <w:rFonts w:hint="eastAsia" w:ascii="仿宋_GB2312" w:hAnsi="Times New Roman" w:eastAsia="仿宋_GB2312" w:cs="Times New Roman"/>
                <w:b/>
                <w:szCs w:val="21"/>
              </w:rPr>
              <w:t>抵质押物情况</w:t>
            </w:r>
          </w:p>
        </w:tc>
        <w:tc>
          <w:tcPr>
            <w:tcW w:w="815" w:type="pct"/>
            <w:shd w:val="clear" w:color="auto" w:fill="FFFFFF"/>
            <w:vAlign w:val="center"/>
          </w:tcPr>
          <w:p w14:paraId="08B5C620">
            <w:pPr>
              <w:jc w:val="center"/>
              <w:rPr>
                <w:rFonts w:ascii="仿宋_GB2312" w:hAnsi="Times New Roman" w:eastAsia="仿宋_GB2312" w:cs="Times New Roman"/>
                <w:b/>
                <w:szCs w:val="21"/>
              </w:rPr>
            </w:pPr>
            <w:r>
              <w:rPr>
                <w:rFonts w:hint="eastAsia" w:ascii="仿宋_GB2312" w:hAnsi="Times New Roman" w:eastAsia="仿宋_GB2312" w:cs="Times New Roman"/>
                <w:b/>
                <w:szCs w:val="21"/>
              </w:rPr>
              <w:t>保证人</w:t>
            </w:r>
          </w:p>
        </w:tc>
        <w:tc>
          <w:tcPr>
            <w:tcW w:w="541" w:type="pct"/>
            <w:shd w:val="clear" w:color="auto" w:fill="FFFFFF"/>
            <w:vAlign w:val="center"/>
          </w:tcPr>
          <w:p w14:paraId="05831516">
            <w:pPr>
              <w:jc w:val="center"/>
              <w:rPr>
                <w:rFonts w:ascii="仿宋_GB2312" w:hAnsi="Times New Roman" w:eastAsia="仿宋_GB2312" w:cs="Times New Roman"/>
                <w:b/>
                <w:szCs w:val="21"/>
              </w:rPr>
            </w:pPr>
            <w:r>
              <w:rPr>
                <w:rFonts w:hint="eastAsia" w:ascii="仿宋_GB2312" w:hAnsi="Times New Roman" w:eastAsia="仿宋_GB2312" w:cs="Times New Roman"/>
                <w:b/>
                <w:szCs w:val="21"/>
              </w:rPr>
              <w:t>诉讼情况</w:t>
            </w:r>
          </w:p>
        </w:tc>
      </w:tr>
      <w:tr w14:paraId="7D819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35" w:hRule="atLeast"/>
          <w:jc w:val="center"/>
        </w:trPr>
        <w:tc>
          <w:tcPr>
            <w:tcW w:w="264" w:type="pct"/>
            <w:shd w:val="clear" w:color="auto" w:fill="FFFFFF"/>
            <w:vAlign w:val="center"/>
          </w:tcPr>
          <w:p w14:paraId="0DBF3D34">
            <w:pPr>
              <w:jc w:val="center"/>
              <w:rPr>
                <w:rFonts w:ascii="仿宋_GB2312" w:hAnsi="Times New Roman" w:eastAsia="仿宋_GB2312" w:cs="Times New Roman"/>
                <w:szCs w:val="21"/>
              </w:rPr>
            </w:pPr>
            <w:r>
              <w:rPr>
                <w:rFonts w:hint="eastAsia" w:ascii="仿宋_GB2312" w:hAnsi="Times New Roman" w:eastAsia="仿宋_GB2312" w:cs="Times New Roman"/>
                <w:szCs w:val="21"/>
              </w:rPr>
              <w:t>1</w:t>
            </w:r>
          </w:p>
        </w:tc>
        <w:tc>
          <w:tcPr>
            <w:tcW w:w="539" w:type="pct"/>
            <w:shd w:val="clear" w:color="auto" w:fill="FFFFFF"/>
            <w:vAlign w:val="center"/>
          </w:tcPr>
          <w:p w14:paraId="058D567E">
            <w:pPr>
              <w:jc w:val="center"/>
              <w:rPr>
                <w:rFonts w:ascii="仿宋_GB2312" w:hAnsi="Times New Roman" w:eastAsia="仿宋_GB2312" w:cs="Times New Roman"/>
                <w:szCs w:val="21"/>
              </w:rPr>
            </w:pPr>
            <w:r>
              <w:rPr>
                <w:rFonts w:hint="eastAsia" w:ascii="仿宋_GB2312" w:hAnsi="Times New Roman" w:eastAsia="仿宋_GB2312" w:cs="Times New Roman"/>
                <w:szCs w:val="21"/>
                <w:lang w:val="en-US" w:eastAsia="zh-CN"/>
              </w:rPr>
              <w:t>江门市新会区世纪淘宝商城有限公司</w:t>
            </w:r>
          </w:p>
          <w:p w14:paraId="215FCFF8">
            <w:pPr>
              <w:jc w:val="center"/>
              <w:rPr>
                <w:rFonts w:ascii="仿宋_GB2312" w:hAnsi="Times New Roman" w:eastAsia="仿宋_GB2312" w:cs="Times New Roman"/>
                <w:szCs w:val="21"/>
              </w:rPr>
            </w:pPr>
          </w:p>
        </w:tc>
        <w:tc>
          <w:tcPr>
            <w:tcW w:w="627" w:type="pct"/>
            <w:shd w:val="clear" w:color="auto" w:fill="auto"/>
            <w:vAlign w:val="center"/>
          </w:tcPr>
          <w:p w14:paraId="4DD110A4">
            <w:pPr>
              <w:keepNext w:val="0"/>
              <w:keepLines w:val="0"/>
              <w:widowControl w:val="0"/>
              <w:suppressLineNumbers w:val="0"/>
              <w:spacing w:before="0" w:beforeAutospacing="0" w:after="0" w:afterAutospacing="0"/>
              <w:ind w:left="0" w:right="0"/>
              <w:jc w:val="center"/>
              <w:rPr>
                <w:rFonts w:ascii="仿宋_GB2312" w:hAnsi="Times New Roman" w:eastAsia="仿宋_GB2312" w:cs="Times New Roman"/>
                <w:szCs w:val="21"/>
              </w:rPr>
            </w:pPr>
            <w:r>
              <w:rPr>
                <w:rFonts w:hint="default" w:ascii="Times New Roman" w:hAnsi="Times New Roman" w:eastAsia="仿宋_GB2312" w:cs="Times New Roman"/>
                <w:kern w:val="2"/>
                <w:sz w:val="21"/>
                <w:szCs w:val="21"/>
                <w:lang w:val="en-US" w:eastAsia="zh-CN" w:bidi="ar"/>
              </w:rPr>
              <w:t>1,529.00</w:t>
            </w:r>
          </w:p>
        </w:tc>
        <w:tc>
          <w:tcPr>
            <w:tcW w:w="688" w:type="pct"/>
            <w:tcBorders>
              <w:top w:val="single" w:color="auto" w:sz="4" w:space="0"/>
              <w:left w:val="single" w:color="auto" w:sz="4" w:space="0"/>
              <w:bottom w:val="single" w:color="auto" w:sz="4" w:space="0"/>
              <w:right w:val="single" w:color="auto" w:sz="4" w:space="0"/>
            </w:tcBorders>
            <w:shd w:val="clear" w:color="auto" w:fill="auto"/>
            <w:vAlign w:val="center"/>
          </w:tcPr>
          <w:p w14:paraId="6A0DCA64">
            <w:pPr>
              <w:keepNext w:val="0"/>
              <w:keepLines w:val="0"/>
              <w:widowControl w:val="0"/>
              <w:suppressLineNumbers w:val="0"/>
              <w:spacing w:before="0" w:beforeAutospacing="0" w:after="0" w:afterAutospacing="0"/>
              <w:ind w:left="0" w:right="0"/>
              <w:jc w:val="center"/>
              <w:rPr>
                <w:rFonts w:ascii="仿宋_GB2312" w:eastAsia="仿宋_GB2312"/>
              </w:rPr>
            </w:pPr>
            <w:r>
              <w:rPr>
                <w:rFonts w:hint="default" w:ascii="Times New Roman" w:hAnsi="Times New Roman" w:eastAsia="仿宋_GB2312" w:cs="Times New Roman"/>
                <w:kern w:val="2"/>
                <w:sz w:val="21"/>
                <w:szCs w:val="21"/>
                <w:lang w:val="en-US" w:eastAsia="zh-CN" w:bidi="ar"/>
              </w:rPr>
              <w:t>3,616.53</w:t>
            </w:r>
          </w:p>
        </w:tc>
        <w:tc>
          <w:tcPr>
            <w:tcW w:w="1522" w:type="pct"/>
            <w:shd w:val="clear" w:color="auto" w:fill="FFFFFF"/>
            <w:vAlign w:val="center"/>
          </w:tcPr>
          <w:p w14:paraId="62B5D9D8">
            <w:pPr>
              <w:jc w:val="center"/>
              <w:rPr>
                <w:rFonts w:hint="default" w:ascii="仿宋_GB2312" w:hAnsi="Times New Roman" w:eastAsia="仿宋_GB2312" w:cs="Times New Roman"/>
                <w:szCs w:val="21"/>
                <w:lang w:val="en-US"/>
              </w:rPr>
            </w:pPr>
            <w:r>
              <w:rPr>
                <w:rFonts w:hint="eastAsia" w:ascii="仿宋_GB2312" w:hAnsi="Times New Roman" w:eastAsia="仿宋_GB2312" w:cs="Times New Roman"/>
                <w:szCs w:val="21"/>
                <w:lang w:val="en-US" w:eastAsia="zh-CN"/>
              </w:rPr>
              <w:t>江门市新会区会城世纪商业街</w:t>
            </w:r>
            <w:r>
              <w:rPr>
                <w:rFonts w:hint="default" w:ascii="仿宋_GB2312" w:hAnsi="Times New Roman" w:eastAsia="仿宋_GB2312" w:cs="Times New Roman"/>
                <w:szCs w:val="21"/>
                <w:lang w:val="en-US" w:eastAsia="zh-CN"/>
              </w:rPr>
              <w:t>2</w:t>
            </w:r>
            <w:r>
              <w:rPr>
                <w:rFonts w:hint="eastAsia" w:ascii="仿宋_GB2312" w:hAnsi="Times New Roman" w:eastAsia="仿宋_GB2312" w:cs="Times New Roman"/>
                <w:szCs w:val="21"/>
                <w:lang w:val="en-US" w:eastAsia="zh-CN"/>
              </w:rPr>
              <w:t>号首层的</w:t>
            </w:r>
            <w:r>
              <w:rPr>
                <w:rFonts w:hint="default" w:ascii="仿宋_GB2312" w:hAnsi="Times New Roman" w:eastAsia="仿宋_GB2312" w:cs="Times New Roman"/>
                <w:szCs w:val="21"/>
                <w:lang w:val="en-US" w:eastAsia="zh-CN"/>
              </w:rPr>
              <w:t>18</w:t>
            </w:r>
            <w:r>
              <w:rPr>
                <w:rFonts w:hint="eastAsia" w:ascii="仿宋_GB2312" w:hAnsi="Times New Roman" w:eastAsia="仿宋_GB2312" w:cs="Times New Roman"/>
                <w:szCs w:val="21"/>
                <w:lang w:val="en-US" w:eastAsia="zh-CN"/>
              </w:rPr>
              <w:t>个商业用房，商业用房面积为</w:t>
            </w:r>
            <w:r>
              <w:rPr>
                <w:rFonts w:hint="default" w:ascii="仿宋_GB2312" w:hAnsi="Times New Roman" w:eastAsia="仿宋_GB2312" w:cs="Times New Roman"/>
                <w:szCs w:val="21"/>
                <w:lang w:val="en-US" w:eastAsia="zh-CN"/>
              </w:rPr>
              <w:t>802.16</w:t>
            </w:r>
            <w:r>
              <w:rPr>
                <w:rFonts w:hint="eastAsia" w:ascii="仿宋_GB2312" w:hAnsi="Times New Roman" w:eastAsia="仿宋_GB2312" w:cs="Times New Roman"/>
                <w:szCs w:val="21"/>
                <w:lang w:val="en-US" w:eastAsia="zh-CN"/>
              </w:rPr>
              <w:t>平方米。</w:t>
            </w:r>
          </w:p>
        </w:tc>
        <w:tc>
          <w:tcPr>
            <w:tcW w:w="815" w:type="pct"/>
            <w:shd w:val="clear" w:color="auto" w:fill="FFFFFF"/>
            <w:vAlign w:val="center"/>
          </w:tcPr>
          <w:p w14:paraId="7CF4990D">
            <w:pPr>
              <w:jc w:val="center"/>
              <w:rPr>
                <w:rFonts w:ascii="仿宋_GB2312" w:hAnsi="Times New Roman" w:eastAsia="仿宋_GB2312" w:cs="Times New Roman"/>
                <w:szCs w:val="21"/>
              </w:rPr>
            </w:pPr>
            <w:r>
              <w:rPr>
                <w:rFonts w:hint="eastAsia" w:ascii="仿宋_GB2312" w:hAnsi="Times New Roman" w:eastAsia="仿宋_GB2312" w:cs="Times New Roman"/>
                <w:szCs w:val="21"/>
                <w:lang w:val="en-US" w:eastAsia="zh-CN"/>
              </w:rPr>
              <w:t>黄北枝、黄华铨、李秀雯、江门市新会区新辉房地产开发有限公司</w:t>
            </w:r>
          </w:p>
          <w:p w14:paraId="600C7088">
            <w:pPr>
              <w:jc w:val="center"/>
              <w:rPr>
                <w:rFonts w:ascii="仿宋_GB2312" w:hAnsi="Times New Roman" w:eastAsia="仿宋_GB2312" w:cs="Times New Roman"/>
                <w:szCs w:val="21"/>
              </w:rPr>
            </w:pPr>
          </w:p>
        </w:tc>
        <w:tc>
          <w:tcPr>
            <w:tcW w:w="541" w:type="pct"/>
            <w:shd w:val="clear" w:color="auto" w:fill="FFFFFF"/>
            <w:vAlign w:val="center"/>
          </w:tcPr>
          <w:p w14:paraId="67AA1E7E">
            <w:pPr>
              <w:jc w:val="center"/>
              <w:rPr>
                <w:rFonts w:ascii="仿宋_GB2312" w:hAnsi="Times New Roman" w:eastAsia="仿宋_GB2312" w:cs="Times New Roman"/>
                <w:szCs w:val="21"/>
              </w:rPr>
            </w:pPr>
            <w:r>
              <w:rPr>
                <w:rFonts w:hint="eastAsia" w:ascii="仿宋_GB2312" w:hAnsi="Times New Roman" w:eastAsia="仿宋_GB2312" w:cs="Times New Roman"/>
                <w:szCs w:val="21"/>
              </w:rPr>
              <w:t>终本执行</w:t>
            </w:r>
          </w:p>
        </w:tc>
      </w:tr>
      <w:tr w14:paraId="06A0C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804" w:type="pct"/>
            <w:gridSpan w:val="2"/>
            <w:shd w:val="clear" w:color="auto" w:fill="FFFFFF"/>
            <w:vAlign w:val="center"/>
          </w:tcPr>
          <w:p w14:paraId="40809ED0">
            <w:pPr>
              <w:jc w:val="center"/>
              <w:rPr>
                <w:rFonts w:ascii="仿宋_GB2312" w:hAnsi="Times New Roman" w:eastAsia="仿宋_GB2312" w:cs="Times New Roman"/>
                <w:b/>
                <w:szCs w:val="21"/>
              </w:rPr>
            </w:pPr>
            <w:r>
              <w:rPr>
                <w:rFonts w:hint="eastAsia" w:ascii="仿宋_GB2312" w:hAnsi="Times New Roman" w:eastAsia="仿宋_GB2312" w:cs="Times New Roman"/>
                <w:b/>
                <w:szCs w:val="21"/>
              </w:rPr>
              <w:t>合计</w:t>
            </w:r>
          </w:p>
        </w:tc>
        <w:tc>
          <w:tcPr>
            <w:tcW w:w="627" w:type="pct"/>
            <w:shd w:val="clear" w:color="auto" w:fill="FFFFFF"/>
            <w:vAlign w:val="center"/>
          </w:tcPr>
          <w:p w14:paraId="70AB771D">
            <w:pPr>
              <w:jc w:val="center"/>
              <w:rPr>
                <w:rFonts w:ascii="仿宋_GB2312" w:hAnsi="Times New Roman" w:eastAsia="仿宋_GB2312" w:cs="Times New Roman"/>
                <w:b/>
                <w:szCs w:val="21"/>
              </w:rPr>
            </w:pPr>
            <w:r>
              <w:rPr>
                <w:rFonts w:hint="default" w:ascii="仿宋_GB2312" w:hAnsi="Times New Roman" w:eastAsia="仿宋_GB2312" w:cs="Times New Roman"/>
                <w:b/>
                <w:szCs w:val="21"/>
                <w:lang w:val="en-US" w:eastAsia="zh-CN"/>
              </w:rPr>
              <w:t>1,529.00</w:t>
            </w:r>
          </w:p>
        </w:tc>
        <w:tc>
          <w:tcPr>
            <w:tcW w:w="688" w:type="pct"/>
            <w:shd w:val="clear" w:color="auto" w:fill="FFFFFF"/>
            <w:vAlign w:val="center"/>
          </w:tcPr>
          <w:p w14:paraId="5E3CD3B6">
            <w:pPr>
              <w:jc w:val="center"/>
              <w:rPr>
                <w:rFonts w:ascii="仿宋_GB2312" w:eastAsia="仿宋_GB2312"/>
                <w:b/>
                <w:bCs/>
              </w:rPr>
            </w:pPr>
            <w:r>
              <w:rPr>
                <w:rFonts w:hint="default" w:ascii="仿宋_GB2312" w:eastAsia="仿宋_GB2312"/>
                <w:b/>
                <w:bCs/>
                <w:lang w:val="en-US" w:eastAsia="zh-CN"/>
              </w:rPr>
              <w:t>3,616.53</w:t>
            </w:r>
          </w:p>
        </w:tc>
        <w:tc>
          <w:tcPr>
            <w:tcW w:w="1522" w:type="pct"/>
            <w:tcBorders>
              <w:top w:val="nil"/>
              <w:left w:val="single" w:color="auto" w:sz="4" w:space="0"/>
              <w:bottom w:val="single" w:color="auto" w:sz="4" w:space="0"/>
              <w:right w:val="single" w:color="auto" w:sz="4" w:space="0"/>
            </w:tcBorders>
            <w:shd w:val="clear" w:color="auto" w:fill="auto"/>
            <w:vAlign w:val="center"/>
          </w:tcPr>
          <w:p w14:paraId="7D0D33ED">
            <w:pPr>
              <w:jc w:val="center"/>
              <w:rPr>
                <w:rFonts w:ascii="仿宋_GB2312" w:hAnsi="Times New Roman" w:eastAsia="仿宋_GB2312" w:cs="Times New Roman"/>
                <w:b/>
                <w:szCs w:val="21"/>
              </w:rPr>
            </w:pPr>
          </w:p>
        </w:tc>
        <w:tc>
          <w:tcPr>
            <w:tcW w:w="815" w:type="pct"/>
            <w:shd w:val="clear" w:color="auto" w:fill="FFFFFF"/>
            <w:vAlign w:val="center"/>
          </w:tcPr>
          <w:p w14:paraId="5A406659">
            <w:pPr>
              <w:jc w:val="center"/>
              <w:rPr>
                <w:rFonts w:ascii="仿宋_GB2312" w:hAnsi="Times New Roman" w:eastAsia="仿宋_GB2312" w:cs="Times New Roman"/>
                <w:b/>
                <w:szCs w:val="21"/>
              </w:rPr>
            </w:pPr>
          </w:p>
        </w:tc>
        <w:tc>
          <w:tcPr>
            <w:tcW w:w="541" w:type="pct"/>
            <w:shd w:val="clear" w:color="auto" w:fill="FFFFFF"/>
            <w:vAlign w:val="center"/>
          </w:tcPr>
          <w:p w14:paraId="53A0DB1E">
            <w:pPr>
              <w:widowControl/>
              <w:jc w:val="center"/>
              <w:rPr>
                <w:rFonts w:ascii="仿宋_GB2312" w:hAnsi="Times New Roman" w:eastAsia="仿宋_GB2312" w:cs="Times New Roman"/>
                <w:b/>
                <w:szCs w:val="21"/>
              </w:rPr>
            </w:pPr>
          </w:p>
        </w:tc>
      </w:tr>
    </w:tbl>
    <w:p w14:paraId="19EA3795">
      <w:pPr>
        <w:spacing w:line="360" w:lineRule="auto"/>
        <w:ind w:firstLine="640" w:firstLineChars="200"/>
        <w:rPr>
          <w:rFonts w:ascii="仿宋_GB2312" w:hAnsi="仿宋" w:eastAsia="仿宋_GB2312"/>
          <w:sz w:val="32"/>
          <w:szCs w:val="32"/>
        </w:rPr>
      </w:pPr>
    </w:p>
    <w:p w14:paraId="1FF184AD">
      <w:pPr>
        <w:rPr>
          <w:rFonts w:ascii="黑体" w:hAnsi="黑体" w:eastAsia="黑体"/>
          <w:b/>
          <w:bCs/>
          <w:sz w:val="32"/>
          <w:szCs w:val="32"/>
        </w:rPr>
      </w:pPr>
      <w:r>
        <w:rPr>
          <w:rFonts w:hint="eastAsia" w:ascii="黑体" w:hAnsi="黑体" w:eastAsia="黑体"/>
          <w:b/>
          <w:bCs/>
          <w:sz w:val="32"/>
          <w:szCs w:val="32"/>
        </w:rPr>
        <w:t>二、资产介绍</w:t>
      </w:r>
    </w:p>
    <w:p w14:paraId="7BADB0D5">
      <w:pPr>
        <w:ind w:firstLine="640" w:firstLineChars="200"/>
        <w:rPr>
          <w:rFonts w:hint="eastAsia" w:ascii="仿宋_GB2312" w:hAnsi="仿宋" w:eastAsia="仿宋_GB2312" w:cs="Times New Roman"/>
          <w:bCs/>
          <w:kern w:val="0"/>
          <w:sz w:val="32"/>
          <w:szCs w:val="32"/>
        </w:rPr>
      </w:pPr>
      <w:r>
        <w:rPr>
          <w:rFonts w:hint="eastAsia" w:ascii="仿宋_GB2312" w:hAnsi="仿宋" w:eastAsia="仿宋_GB2312" w:cs="Times New Roman"/>
          <w:bCs/>
          <w:kern w:val="0"/>
          <w:sz w:val="32"/>
          <w:szCs w:val="32"/>
        </w:rPr>
        <w:t>本项目债权抵押物为</w:t>
      </w:r>
      <w:r>
        <w:rPr>
          <w:rFonts w:hint="eastAsia" w:ascii="仿宋_GB2312" w:hAnsi="仿宋" w:eastAsia="仿宋_GB2312" w:cs="Times New Roman"/>
          <w:bCs/>
          <w:kern w:val="0"/>
          <w:sz w:val="32"/>
          <w:szCs w:val="32"/>
          <w:lang w:val="en-US" w:eastAsia="zh-CN"/>
        </w:rPr>
        <w:t>江门市新会区会城世纪商业街2号的18卡商铺，证载为非住宅，实际作商铺使用，面积合计802.16㎡。经实地走访，位置为“盛新百货”所在地。抵押物周边住宅密集，人流量尚可，但设施较旧，除沿街商铺较多在业外，盛新百货内部大部分商铺已空置。</w:t>
      </w:r>
    </w:p>
    <w:p w14:paraId="398CC061">
      <w:pPr>
        <w:pStyle w:val="10"/>
        <w:widowControl/>
        <w:spacing w:line="360" w:lineRule="atLeast"/>
        <w:ind w:firstLine="0" w:firstLineChars="0"/>
        <w:rPr>
          <w:rFonts w:ascii="黑体" w:hAnsi="黑体" w:eastAsia="黑体" w:cstheme="minorBidi"/>
          <w:b/>
          <w:bCs/>
          <w:sz w:val="32"/>
          <w:szCs w:val="32"/>
        </w:rPr>
      </w:pPr>
      <w:r>
        <w:rPr>
          <w:rFonts w:hint="eastAsia" w:ascii="黑体" w:hAnsi="黑体" w:eastAsia="黑体" w:cstheme="minorBidi"/>
          <w:b/>
          <w:bCs/>
          <w:sz w:val="32"/>
          <w:szCs w:val="32"/>
        </w:rPr>
        <w:t>三、主要抵押物及周边照片</w:t>
      </w:r>
    </w:p>
    <w:p w14:paraId="1A8293F2">
      <w:pPr>
        <w:ind w:firstLine="640"/>
        <w:rPr>
          <w:rFonts w:ascii="仿宋_GB2312" w:hAnsi="Times New Roman" w:eastAsia="仿宋_GB2312" w:cs="Times New Roman"/>
          <w:sz w:val="28"/>
          <w:szCs w:val="28"/>
        </w:rPr>
      </w:pPr>
      <w:r>
        <w:rPr>
          <w:rFonts w:hint="eastAsia" w:ascii="仿宋_GB2312" w:hAnsi="Times New Roman" w:eastAsia="仿宋_GB2312" w:cs="Times New Roman"/>
          <w:sz w:val="28"/>
          <w:szCs w:val="28"/>
        </w:rPr>
        <w:t>抵押物方位及现场情况如下：</w:t>
      </w:r>
    </w:p>
    <w:tbl>
      <w:tblPr>
        <w:tblStyle w:val="43"/>
        <w:tblW w:w="0" w:type="auto"/>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4265"/>
        <w:gridCol w:w="4263"/>
      </w:tblGrid>
      <w:tr w14:paraId="0DC7544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402" w:hRule="atLeast"/>
        </w:trPr>
        <w:tc>
          <w:tcPr>
            <w:tcW w:w="8528" w:type="dxa"/>
            <w:gridSpan w:val="2"/>
          </w:tcPr>
          <w:p w14:paraId="2F7CD936">
            <w:pPr>
              <w:rPr>
                <w:rFonts w:ascii="仿宋_GB2312" w:eastAsia="仿宋_GB2312"/>
                <w:sz w:val="28"/>
                <w:szCs w:val="28"/>
              </w:rPr>
            </w:pPr>
            <w:r>
              <w:rPr>
                <w:rFonts w:hint="eastAsia" w:ascii="仿宋_GB2312" w:eastAsia="仿宋_GB2312"/>
                <w:sz w:val="28"/>
                <w:szCs w:val="28"/>
                <w:lang w:val="en-US" w:eastAsia="zh-CN"/>
              </w:rPr>
              <w:t>世纪商业街</w:t>
            </w:r>
            <w:r>
              <w:rPr>
                <w:rFonts w:hint="eastAsia" w:ascii="仿宋_GB2312" w:eastAsia="仿宋_GB2312"/>
                <w:sz w:val="28"/>
                <w:szCs w:val="28"/>
              </w:rPr>
              <w:t>区位图</w:t>
            </w:r>
          </w:p>
        </w:tc>
      </w:tr>
      <w:tr w14:paraId="1BA4637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8528" w:type="dxa"/>
            <w:gridSpan w:val="2"/>
          </w:tcPr>
          <w:p w14:paraId="2C728067">
            <w:pPr>
              <w:keepNext w:val="0"/>
              <w:keepLines w:val="0"/>
              <w:widowControl/>
              <w:suppressLineNumbers w:val="0"/>
              <w:jc w:val="left"/>
              <w:rPr>
                <w:rFonts w:ascii="仿宋_GB2312" w:eastAsia="仿宋_GB2312"/>
                <w:sz w:val="28"/>
                <w:szCs w:val="28"/>
              </w:rPr>
            </w:pPr>
            <w:r>
              <w:rPr>
                <w:rFonts w:ascii="宋体" w:hAnsi="宋体" w:eastAsia="宋体" w:cs="宋体"/>
                <w:kern w:val="0"/>
                <w:sz w:val="24"/>
                <w:szCs w:val="24"/>
                <w:lang w:val="en-US" w:eastAsia="zh-CN" w:bidi="ar"/>
              </w:rPr>
              <w:drawing>
                <wp:inline distT="0" distB="0" distL="114300" distR="114300">
                  <wp:extent cx="5267325" cy="2476500"/>
                  <wp:effectExtent l="0" t="0" r="9525" b="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5267325" cy="2476500"/>
                          </a:xfrm>
                          <a:prstGeom prst="rect">
                            <a:avLst/>
                          </a:prstGeom>
                          <a:noFill/>
                          <a:ln w="9525">
                            <a:noFill/>
                          </a:ln>
                        </pic:spPr>
                      </pic:pic>
                    </a:graphicData>
                  </a:graphic>
                </wp:inline>
              </w:drawing>
            </w:r>
          </w:p>
        </w:tc>
      </w:tr>
      <w:tr w14:paraId="04EACE2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264" w:type="dxa"/>
          </w:tcPr>
          <w:p w14:paraId="1CCB4372">
            <w:pPr>
              <w:rPr>
                <w:rFonts w:ascii="仿宋_GB2312" w:eastAsia="仿宋_GB2312"/>
                <w:sz w:val="28"/>
                <w:szCs w:val="28"/>
              </w:rPr>
            </w:pPr>
            <w:r>
              <w:rPr>
                <w:rFonts w:ascii="Times New Roman" w:hAnsi="Times New Roman" w:eastAsia="仿宋_GB2312" w:cs="Times New Roman"/>
                <w:kern w:val="0"/>
                <w:sz w:val="32"/>
                <w:szCs w:val="32"/>
              </w:rPr>
              <w:drawing>
                <wp:inline distT="0" distB="0" distL="0" distR="0">
                  <wp:extent cx="2495550" cy="1871980"/>
                  <wp:effectExtent l="0" t="0" r="0" b="1397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2508009" cy="1881157"/>
                          </a:xfrm>
                          <a:prstGeom prst="rect">
                            <a:avLst/>
                          </a:prstGeom>
                          <a:noFill/>
                          <a:ln>
                            <a:noFill/>
                          </a:ln>
                        </pic:spPr>
                      </pic:pic>
                    </a:graphicData>
                  </a:graphic>
                </wp:inline>
              </w:drawing>
            </w:r>
          </w:p>
        </w:tc>
        <w:tc>
          <w:tcPr>
            <w:tcW w:w="4264" w:type="dxa"/>
          </w:tcPr>
          <w:p w14:paraId="706E7681">
            <w:pPr>
              <w:rPr>
                <w:rFonts w:ascii="仿宋_GB2312" w:eastAsia="仿宋_GB2312"/>
                <w:sz w:val="28"/>
                <w:szCs w:val="28"/>
              </w:rPr>
            </w:pPr>
            <w:r>
              <w:rPr>
                <w:rFonts w:ascii="Times New Roman" w:hAnsi="Times New Roman" w:eastAsia="仿宋_GB2312" w:cs="Times New Roman"/>
                <w:kern w:val="0"/>
                <w:sz w:val="32"/>
                <w:szCs w:val="32"/>
              </w:rPr>
              <w:drawing>
                <wp:inline distT="0" distB="0" distL="0" distR="0">
                  <wp:extent cx="2509520" cy="1882140"/>
                  <wp:effectExtent l="0" t="0" r="5080" b="381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519673" cy="1889906"/>
                          </a:xfrm>
                          <a:prstGeom prst="rect">
                            <a:avLst/>
                          </a:prstGeom>
                          <a:noFill/>
                          <a:ln>
                            <a:noFill/>
                          </a:ln>
                        </pic:spPr>
                      </pic:pic>
                    </a:graphicData>
                  </a:graphic>
                </wp:inline>
              </w:drawing>
            </w:r>
          </w:p>
        </w:tc>
      </w:tr>
      <w:tr w14:paraId="7FA9614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264" w:type="dxa"/>
          </w:tcPr>
          <w:p w14:paraId="3E6E1B3C">
            <w:pPr>
              <w:rPr>
                <w:rFonts w:ascii="仿宋_GB2312" w:eastAsia="仿宋_GB2312"/>
                <w:sz w:val="28"/>
                <w:szCs w:val="28"/>
              </w:rPr>
            </w:pPr>
            <w:r>
              <w:rPr>
                <w:rFonts w:ascii="Times New Roman" w:hAnsi="Times New Roman" w:eastAsia="仿宋_GB2312" w:cs="Times New Roman"/>
                <w:kern w:val="0"/>
                <w:sz w:val="32"/>
                <w:szCs w:val="32"/>
              </w:rPr>
              <w:drawing>
                <wp:inline distT="0" distB="0" distL="0" distR="0">
                  <wp:extent cx="2538095" cy="1903730"/>
                  <wp:effectExtent l="0" t="0" r="14605" b="127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554440" cy="1915984"/>
                          </a:xfrm>
                          <a:prstGeom prst="rect">
                            <a:avLst/>
                          </a:prstGeom>
                          <a:noFill/>
                          <a:ln>
                            <a:noFill/>
                          </a:ln>
                        </pic:spPr>
                      </pic:pic>
                    </a:graphicData>
                  </a:graphic>
                </wp:inline>
              </w:drawing>
            </w:r>
          </w:p>
        </w:tc>
        <w:tc>
          <w:tcPr>
            <w:tcW w:w="4264" w:type="dxa"/>
          </w:tcPr>
          <w:p w14:paraId="55653FE9">
            <w:pPr>
              <w:rPr>
                <w:rFonts w:ascii="仿宋_GB2312" w:eastAsia="仿宋_GB2312"/>
                <w:sz w:val="28"/>
                <w:szCs w:val="28"/>
              </w:rPr>
            </w:pPr>
            <w:r>
              <w:rPr>
                <w:rFonts w:ascii="Times New Roman" w:hAnsi="Times New Roman" w:eastAsia="仿宋_GB2312" w:cs="Times New Roman"/>
                <w:kern w:val="0"/>
                <w:sz w:val="32"/>
                <w:szCs w:val="32"/>
              </w:rPr>
              <w:drawing>
                <wp:inline distT="0" distB="0" distL="0" distR="0">
                  <wp:extent cx="2509520" cy="1882140"/>
                  <wp:effectExtent l="0" t="0" r="5080" b="381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515858" cy="1887045"/>
                          </a:xfrm>
                          <a:prstGeom prst="rect">
                            <a:avLst/>
                          </a:prstGeom>
                          <a:noFill/>
                          <a:ln>
                            <a:noFill/>
                          </a:ln>
                        </pic:spPr>
                      </pic:pic>
                    </a:graphicData>
                  </a:graphic>
                </wp:inline>
              </w:drawing>
            </w:r>
          </w:p>
        </w:tc>
      </w:tr>
      <w:tr w14:paraId="5BB6B20D">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8528" w:type="dxa"/>
            <w:gridSpan w:val="2"/>
          </w:tcPr>
          <w:p w14:paraId="7C73C144">
            <w:pPr>
              <w:rPr>
                <w:rFonts w:ascii="仿宋_GB2312" w:eastAsia="仿宋_GB2312"/>
                <w:sz w:val="28"/>
                <w:szCs w:val="28"/>
              </w:rPr>
            </w:pPr>
            <w:r>
              <w:rPr>
                <w:rFonts w:ascii="Times New Roman" w:hAnsi="Times New Roman" w:eastAsia="仿宋_GB2312" w:cs="Times New Roman"/>
                <w:kern w:val="0"/>
                <w:sz w:val="32"/>
                <w:szCs w:val="32"/>
              </w:rPr>
              <w:drawing>
                <wp:inline distT="0" distB="0" distL="0" distR="0">
                  <wp:extent cx="5300980" cy="1946275"/>
                  <wp:effectExtent l="0" t="0" r="13970" b="1587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300980" cy="1955900"/>
                          </a:xfrm>
                          <a:prstGeom prst="rect">
                            <a:avLst/>
                          </a:prstGeom>
                          <a:noFill/>
                          <a:ln>
                            <a:noFill/>
                          </a:ln>
                        </pic:spPr>
                      </pic:pic>
                    </a:graphicData>
                  </a:graphic>
                </wp:inline>
              </w:drawing>
            </w:r>
          </w:p>
        </w:tc>
      </w:tr>
    </w:tbl>
    <w:p w14:paraId="2255C0FD">
      <w:pPr>
        <w:pStyle w:val="10"/>
        <w:widowControl/>
        <w:spacing w:line="360" w:lineRule="atLeast"/>
        <w:ind w:firstLine="803"/>
        <w:rPr>
          <w:rFonts w:ascii="仿宋_GB2312" w:hAnsi="仿宋" w:eastAsia="仿宋_GB2312" w:cs="仿宋"/>
          <w:sz w:val="32"/>
          <w:szCs w:val="32"/>
        </w:rPr>
      </w:pPr>
      <w:r>
        <w:rPr>
          <w:rFonts w:hint="eastAsia" w:ascii="仿宋_GB2312" w:hAnsi="仿宋" w:eastAsia="仿宋_GB2312" w:cs="仿宋"/>
          <w:b/>
          <w:bCs/>
          <w:color w:val="000000"/>
          <w:sz w:val="32"/>
          <w:szCs w:val="32"/>
        </w:rPr>
        <w:t>注：</w:t>
      </w:r>
      <w:r>
        <w:rPr>
          <w:rFonts w:hint="eastAsia" w:ascii="仿宋_GB2312" w:hAnsi="仿宋" w:eastAsia="仿宋_GB2312" w:cs="仿宋"/>
          <w:color w:val="000000"/>
          <w:sz w:val="32"/>
          <w:szCs w:val="32"/>
        </w:rPr>
        <w:t>1.本清单仅列示截至【202</w:t>
      </w:r>
      <w:r>
        <w:rPr>
          <w:rFonts w:hint="eastAsia" w:ascii="仿宋_GB2312" w:hAnsi="仿宋" w:eastAsia="仿宋_GB2312" w:cs="仿宋"/>
          <w:color w:val="000000"/>
          <w:sz w:val="32"/>
          <w:szCs w:val="32"/>
          <w:lang w:val="en-US" w:eastAsia="zh-CN"/>
        </w:rPr>
        <w:t>6</w:t>
      </w:r>
      <w:r>
        <w:rPr>
          <w:rFonts w:hint="eastAsia" w:ascii="仿宋_GB2312" w:hAnsi="仿宋" w:eastAsia="仿宋_GB2312" w:cs="仿宋"/>
          <w:color w:val="000000"/>
          <w:sz w:val="32"/>
          <w:szCs w:val="32"/>
        </w:rPr>
        <w:t>】年【</w:t>
      </w:r>
      <w:r>
        <w:rPr>
          <w:rFonts w:hint="eastAsia" w:ascii="仿宋_GB2312" w:hAnsi="仿宋" w:eastAsia="仿宋_GB2312" w:cs="仿宋"/>
          <w:color w:val="000000"/>
          <w:sz w:val="32"/>
          <w:szCs w:val="32"/>
          <w:lang w:val="en-US" w:eastAsia="zh-CN"/>
        </w:rPr>
        <w:t>6</w:t>
      </w:r>
      <w:r>
        <w:rPr>
          <w:rFonts w:hint="eastAsia" w:ascii="仿宋_GB2312" w:hAnsi="仿宋" w:eastAsia="仿宋_GB2312" w:cs="仿宋"/>
          <w:color w:val="000000"/>
          <w:sz w:val="32"/>
          <w:szCs w:val="32"/>
        </w:rPr>
        <w:t>】月【3</w:t>
      </w:r>
      <w:r>
        <w:rPr>
          <w:rFonts w:hint="eastAsia" w:ascii="仿宋_GB2312" w:hAnsi="仿宋" w:eastAsia="仿宋_GB2312" w:cs="仿宋"/>
          <w:color w:val="000000"/>
          <w:sz w:val="32"/>
          <w:szCs w:val="32"/>
          <w:lang w:val="en-US" w:eastAsia="zh-CN"/>
        </w:rPr>
        <w:t>0</w:t>
      </w:r>
      <w:r>
        <w:rPr>
          <w:rFonts w:hint="eastAsia" w:ascii="仿宋_GB2312" w:hAnsi="仿宋" w:eastAsia="仿宋_GB2312" w:cs="仿宋"/>
          <w:color w:val="000000"/>
          <w:sz w:val="32"/>
          <w:szCs w:val="32"/>
        </w:rPr>
        <w:t>】日的债权本金，债务人和担保人应支付给我司的利息、罚息、复利、违约金及其它应付款，按借款合同、担保合同及中国人民银行的有关规定或生效法律文书确定的方法计算；</w:t>
      </w:r>
    </w:p>
    <w:p w14:paraId="383CDDD2">
      <w:pPr>
        <w:pStyle w:val="10"/>
        <w:widowControl/>
        <w:spacing w:line="360" w:lineRule="atLeast"/>
        <w:ind w:firstLine="640" w:firstLineChars="200"/>
        <w:rPr>
          <w:rFonts w:ascii="仿宋_GB2312" w:hAnsi="仿宋" w:eastAsia="仿宋_GB2312" w:cs="仿宋"/>
          <w:color w:val="000000"/>
          <w:sz w:val="32"/>
          <w:szCs w:val="32"/>
        </w:rPr>
      </w:pPr>
      <w:r>
        <w:rPr>
          <w:rFonts w:hint="eastAsia" w:ascii="仿宋_GB2312" w:hAnsi="仿宋" w:eastAsia="仿宋_GB2312" w:cs="仿宋"/>
          <w:color w:val="000000"/>
          <w:sz w:val="32"/>
          <w:szCs w:val="32"/>
        </w:rPr>
        <w:t>2.若债务人、担保人因各种原因更名、改制、歇业、吊销营业执照或丧失民事主体资格的，请相关承债主体或主管部门代为履行义务或履行清算责任；</w:t>
      </w:r>
    </w:p>
    <w:p w14:paraId="4A3210DC">
      <w:pPr>
        <w:pStyle w:val="10"/>
        <w:widowControl/>
        <w:spacing w:line="360" w:lineRule="atLeast"/>
        <w:ind w:firstLine="800"/>
        <w:rPr>
          <w:rFonts w:ascii="仿宋_GB2312" w:hAnsi="仿宋" w:eastAsia="仿宋_GB2312" w:cs="仿宋"/>
          <w:color w:val="000000"/>
          <w:sz w:val="32"/>
          <w:szCs w:val="32"/>
        </w:rPr>
      </w:pPr>
      <w:r>
        <w:rPr>
          <w:rFonts w:hint="eastAsia" w:ascii="仿宋_GB2312" w:hAnsi="仿宋" w:eastAsia="仿宋_GB2312" w:cs="仿宋"/>
          <w:color w:val="000000"/>
          <w:sz w:val="32"/>
          <w:szCs w:val="32"/>
        </w:rPr>
        <w:t>3.以上内容如有错漏，以债务人、担保人等原已签署的交易合同</w:t>
      </w:r>
      <w:r>
        <w:rPr>
          <w:rFonts w:hint="eastAsia" w:ascii="仿宋_GB2312" w:hAnsi="仿宋" w:eastAsia="仿宋_GB2312" w:cs="仿宋"/>
          <w:sz w:val="32"/>
          <w:szCs w:val="32"/>
          <w:shd w:val="clear" w:color="auto" w:fill="FFFFFF"/>
          <w:lang w:bidi="ar"/>
        </w:rPr>
        <w:t>及/或生效法律文书等相关法律文件</w:t>
      </w:r>
      <w:r>
        <w:rPr>
          <w:rFonts w:hint="eastAsia" w:ascii="仿宋_GB2312" w:hAnsi="仿宋" w:eastAsia="仿宋_GB2312" w:cs="仿宋"/>
          <w:color w:val="000000"/>
          <w:sz w:val="32"/>
          <w:szCs w:val="32"/>
        </w:rPr>
        <w:t>为准；</w:t>
      </w:r>
    </w:p>
    <w:p w14:paraId="6F259293">
      <w:pPr>
        <w:pStyle w:val="10"/>
        <w:widowControl/>
        <w:spacing w:line="360" w:lineRule="atLeast"/>
        <w:ind w:firstLine="800"/>
        <w:rPr>
          <w:rFonts w:ascii="仿宋_GB2312" w:hAnsi="仿宋" w:eastAsia="仿宋_GB2312"/>
          <w:bCs/>
          <w:kern w:val="0"/>
          <w:sz w:val="32"/>
          <w:szCs w:val="32"/>
        </w:rPr>
      </w:pPr>
      <w:r>
        <w:rPr>
          <w:rFonts w:hint="eastAsia" w:ascii="仿宋_GB2312" w:hAnsi="仿宋" w:eastAsia="仿宋_GB2312" w:cs="仿宋"/>
          <w:color w:val="000000"/>
          <w:sz w:val="32"/>
          <w:szCs w:val="32"/>
        </w:rPr>
        <w:t>4.</w:t>
      </w:r>
      <w:r>
        <w:rPr>
          <w:rFonts w:hint="eastAsia" w:ascii="仿宋_GB2312" w:hAnsi="仿宋" w:eastAsia="仿宋_GB2312" w:cs="仿宋"/>
          <w:color w:val="2B2B2B"/>
          <w:sz w:val="32"/>
          <w:szCs w:val="32"/>
          <w:shd w:val="clear" w:color="auto" w:fill="FFFFFF"/>
        </w:rPr>
        <w:t>资产介绍及照片内容仅供参考,我司不对其承担任何法律责任。</w:t>
      </w: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EC4"/>
    <w:rsid w:val="000161D3"/>
    <w:rsid w:val="00023E20"/>
    <w:rsid w:val="000773C6"/>
    <w:rsid w:val="000C2C2C"/>
    <w:rsid w:val="000C5B13"/>
    <w:rsid w:val="000C6278"/>
    <w:rsid w:val="000D68CE"/>
    <w:rsid w:val="00106B47"/>
    <w:rsid w:val="001112CE"/>
    <w:rsid w:val="00125111"/>
    <w:rsid w:val="00144DE2"/>
    <w:rsid w:val="0015049C"/>
    <w:rsid w:val="00152FFE"/>
    <w:rsid w:val="0015435C"/>
    <w:rsid w:val="00156792"/>
    <w:rsid w:val="00163727"/>
    <w:rsid w:val="0017230C"/>
    <w:rsid w:val="001821D9"/>
    <w:rsid w:val="0018331F"/>
    <w:rsid w:val="00187989"/>
    <w:rsid w:val="001955CF"/>
    <w:rsid w:val="001A71E2"/>
    <w:rsid w:val="001B0D49"/>
    <w:rsid w:val="001B5665"/>
    <w:rsid w:val="001B6566"/>
    <w:rsid w:val="001C0E10"/>
    <w:rsid w:val="00215363"/>
    <w:rsid w:val="00215F31"/>
    <w:rsid w:val="00216AB1"/>
    <w:rsid w:val="002210A8"/>
    <w:rsid w:val="0023000B"/>
    <w:rsid w:val="002450D8"/>
    <w:rsid w:val="00250FE2"/>
    <w:rsid w:val="002737E9"/>
    <w:rsid w:val="00282EA2"/>
    <w:rsid w:val="00287A31"/>
    <w:rsid w:val="00293519"/>
    <w:rsid w:val="0029391D"/>
    <w:rsid w:val="00293D52"/>
    <w:rsid w:val="002A1E6C"/>
    <w:rsid w:val="002A6D2F"/>
    <w:rsid w:val="002B3A7A"/>
    <w:rsid w:val="002D627C"/>
    <w:rsid w:val="002F6A0E"/>
    <w:rsid w:val="003015C3"/>
    <w:rsid w:val="003312C6"/>
    <w:rsid w:val="00331794"/>
    <w:rsid w:val="00335870"/>
    <w:rsid w:val="00340885"/>
    <w:rsid w:val="003432BA"/>
    <w:rsid w:val="00352720"/>
    <w:rsid w:val="00355152"/>
    <w:rsid w:val="00374013"/>
    <w:rsid w:val="00375035"/>
    <w:rsid w:val="00390F43"/>
    <w:rsid w:val="003A39C1"/>
    <w:rsid w:val="003A54C9"/>
    <w:rsid w:val="003B5353"/>
    <w:rsid w:val="003F1F80"/>
    <w:rsid w:val="00407EC4"/>
    <w:rsid w:val="00420A4A"/>
    <w:rsid w:val="004274AA"/>
    <w:rsid w:val="004409FB"/>
    <w:rsid w:val="004419DD"/>
    <w:rsid w:val="00445B78"/>
    <w:rsid w:val="00454104"/>
    <w:rsid w:val="00454B4B"/>
    <w:rsid w:val="00474DA8"/>
    <w:rsid w:val="00476271"/>
    <w:rsid w:val="004A65BF"/>
    <w:rsid w:val="004B51A9"/>
    <w:rsid w:val="004C3139"/>
    <w:rsid w:val="004D1FCE"/>
    <w:rsid w:val="004D5513"/>
    <w:rsid w:val="004E4FC4"/>
    <w:rsid w:val="0050728C"/>
    <w:rsid w:val="00513035"/>
    <w:rsid w:val="0052494A"/>
    <w:rsid w:val="00531F97"/>
    <w:rsid w:val="005451AF"/>
    <w:rsid w:val="00586D6C"/>
    <w:rsid w:val="005A4CDE"/>
    <w:rsid w:val="005D41E4"/>
    <w:rsid w:val="005E4B83"/>
    <w:rsid w:val="005E6E0E"/>
    <w:rsid w:val="005F4165"/>
    <w:rsid w:val="00601C0D"/>
    <w:rsid w:val="00632DD9"/>
    <w:rsid w:val="006356C5"/>
    <w:rsid w:val="00637821"/>
    <w:rsid w:val="006758D1"/>
    <w:rsid w:val="00681971"/>
    <w:rsid w:val="00683798"/>
    <w:rsid w:val="006840B0"/>
    <w:rsid w:val="006A349F"/>
    <w:rsid w:val="006B33B8"/>
    <w:rsid w:val="006C3B29"/>
    <w:rsid w:val="006E218C"/>
    <w:rsid w:val="006E224A"/>
    <w:rsid w:val="006E50CD"/>
    <w:rsid w:val="006E6D67"/>
    <w:rsid w:val="006F37EE"/>
    <w:rsid w:val="006F54A3"/>
    <w:rsid w:val="00723D81"/>
    <w:rsid w:val="00733817"/>
    <w:rsid w:val="00734BE2"/>
    <w:rsid w:val="00760CAB"/>
    <w:rsid w:val="0076631B"/>
    <w:rsid w:val="007779E3"/>
    <w:rsid w:val="00783029"/>
    <w:rsid w:val="00783CB0"/>
    <w:rsid w:val="007960E8"/>
    <w:rsid w:val="007B3301"/>
    <w:rsid w:val="007B495D"/>
    <w:rsid w:val="007D084C"/>
    <w:rsid w:val="007E1685"/>
    <w:rsid w:val="007E32C8"/>
    <w:rsid w:val="007F1F91"/>
    <w:rsid w:val="007F7B5E"/>
    <w:rsid w:val="00840CCD"/>
    <w:rsid w:val="00875D99"/>
    <w:rsid w:val="008A1090"/>
    <w:rsid w:val="008C6424"/>
    <w:rsid w:val="008E0E64"/>
    <w:rsid w:val="009204F6"/>
    <w:rsid w:val="00951B13"/>
    <w:rsid w:val="00954055"/>
    <w:rsid w:val="00965DC6"/>
    <w:rsid w:val="00981CAD"/>
    <w:rsid w:val="00A44DA2"/>
    <w:rsid w:val="00A63A59"/>
    <w:rsid w:val="00A9723B"/>
    <w:rsid w:val="00AB2F4A"/>
    <w:rsid w:val="00AC3956"/>
    <w:rsid w:val="00AD17FC"/>
    <w:rsid w:val="00AE17B2"/>
    <w:rsid w:val="00AE4FC7"/>
    <w:rsid w:val="00AF4202"/>
    <w:rsid w:val="00B00ED3"/>
    <w:rsid w:val="00B22A0D"/>
    <w:rsid w:val="00B2488A"/>
    <w:rsid w:val="00B26440"/>
    <w:rsid w:val="00B403AE"/>
    <w:rsid w:val="00B516E2"/>
    <w:rsid w:val="00B56C0F"/>
    <w:rsid w:val="00B5798B"/>
    <w:rsid w:val="00B7389D"/>
    <w:rsid w:val="00BB059B"/>
    <w:rsid w:val="00BC1707"/>
    <w:rsid w:val="00BF3516"/>
    <w:rsid w:val="00C1276A"/>
    <w:rsid w:val="00C258D3"/>
    <w:rsid w:val="00C436D2"/>
    <w:rsid w:val="00C76422"/>
    <w:rsid w:val="00C92AD9"/>
    <w:rsid w:val="00CA2871"/>
    <w:rsid w:val="00CB128F"/>
    <w:rsid w:val="00CB450F"/>
    <w:rsid w:val="00CD4EED"/>
    <w:rsid w:val="00CE0CED"/>
    <w:rsid w:val="00D072C6"/>
    <w:rsid w:val="00D65CFB"/>
    <w:rsid w:val="00D66C67"/>
    <w:rsid w:val="00D70205"/>
    <w:rsid w:val="00D80148"/>
    <w:rsid w:val="00D93C7E"/>
    <w:rsid w:val="00DA147A"/>
    <w:rsid w:val="00DB4FD3"/>
    <w:rsid w:val="00DC0A80"/>
    <w:rsid w:val="00DF0EE2"/>
    <w:rsid w:val="00DF4DA2"/>
    <w:rsid w:val="00E12143"/>
    <w:rsid w:val="00E23C44"/>
    <w:rsid w:val="00E25842"/>
    <w:rsid w:val="00E40124"/>
    <w:rsid w:val="00E50521"/>
    <w:rsid w:val="00E55C25"/>
    <w:rsid w:val="00E818F3"/>
    <w:rsid w:val="00E928AE"/>
    <w:rsid w:val="00E92B28"/>
    <w:rsid w:val="00EA3B4E"/>
    <w:rsid w:val="00EB1BCD"/>
    <w:rsid w:val="00EC7340"/>
    <w:rsid w:val="00EE1F95"/>
    <w:rsid w:val="00EE726B"/>
    <w:rsid w:val="00F020DD"/>
    <w:rsid w:val="00F16178"/>
    <w:rsid w:val="00F2029A"/>
    <w:rsid w:val="00F241B2"/>
    <w:rsid w:val="00F25AB1"/>
    <w:rsid w:val="00F36E9E"/>
    <w:rsid w:val="00F41889"/>
    <w:rsid w:val="00F54E14"/>
    <w:rsid w:val="00F56126"/>
    <w:rsid w:val="00F60C22"/>
    <w:rsid w:val="00F76F6F"/>
    <w:rsid w:val="00FA7D7E"/>
    <w:rsid w:val="00FB3DC9"/>
    <w:rsid w:val="00FB7173"/>
    <w:rsid w:val="00FC29CC"/>
    <w:rsid w:val="00FE70EB"/>
    <w:rsid w:val="19B712C5"/>
    <w:rsid w:val="24A926C8"/>
    <w:rsid w:val="3C377FE9"/>
    <w:rsid w:val="4C306277"/>
    <w:rsid w:val="4CED44D5"/>
    <w:rsid w:val="599B05DB"/>
    <w:rsid w:val="79C778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4"/>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25"/>
    <w:unhideWhenUsed/>
    <w:qFormat/>
    <w:uiPriority w:val="0"/>
    <w:pPr>
      <w:keepNext/>
      <w:keepLines/>
      <w:spacing w:before="260" w:after="260" w:line="413" w:lineRule="auto"/>
      <w:outlineLvl w:val="1"/>
    </w:pPr>
    <w:rPr>
      <w:rFonts w:ascii="Arial" w:hAnsi="Arial" w:eastAsia="黑体" w:cs="Times New Roman"/>
      <w:b/>
      <w:sz w:val="32"/>
      <w:szCs w:val="24"/>
    </w:rPr>
  </w:style>
  <w:style w:type="paragraph" w:styleId="4">
    <w:name w:val="heading 3"/>
    <w:basedOn w:val="1"/>
    <w:next w:val="1"/>
    <w:link w:val="26"/>
    <w:unhideWhenUsed/>
    <w:qFormat/>
    <w:uiPriority w:val="0"/>
    <w:pPr>
      <w:keepNext/>
      <w:keepLines/>
      <w:spacing w:before="260" w:after="260" w:line="413" w:lineRule="auto"/>
      <w:outlineLvl w:val="2"/>
    </w:pPr>
    <w:rPr>
      <w:rFonts w:ascii="Times New Roman" w:hAnsi="Times New Roman" w:eastAsia="宋体" w:cs="Times New Roman"/>
      <w:b/>
      <w:sz w:val="32"/>
      <w:szCs w:val="24"/>
    </w:rPr>
  </w:style>
  <w:style w:type="paragraph" w:styleId="5">
    <w:name w:val="heading 4"/>
    <w:basedOn w:val="1"/>
    <w:next w:val="1"/>
    <w:link w:val="27"/>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1"/>
    <w:unhideWhenUsed/>
    <w:qFormat/>
    <w:uiPriority w:val="0"/>
    <w:pPr>
      <w:jc w:val="left"/>
    </w:pPr>
  </w:style>
  <w:style w:type="paragraph" w:styleId="7">
    <w:name w:val="Balloon Text"/>
    <w:basedOn w:val="1"/>
    <w:link w:val="23"/>
    <w:unhideWhenUsed/>
    <w:qFormat/>
    <w:uiPriority w:val="0"/>
    <w:rPr>
      <w:sz w:val="18"/>
      <w:szCs w:val="18"/>
    </w:rPr>
  </w:style>
  <w:style w:type="paragraph" w:styleId="8">
    <w:name w:val="footer"/>
    <w:basedOn w:val="1"/>
    <w:link w:val="19"/>
    <w:unhideWhenUsed/>
    <w:qFormat/>
    <w:uiPriority w:val="0"/>
    <w:pPr>
      <w:tabs>
        <w:tab w:val="center" w:pos="4153"/>
        <w:tab w:val="right" w:pos="8306"/>
      </w:tabs>
      <w:snapToGrid w:val="0"/>
      <w:jc w:val="left"/>
    </w:pPr>
    <w:rPr>
      <w:sz w:val="18"/>
      <w:szCs w:val="18"/>
    </w:rPr>
  </w:style>
  <w:style w:type="paragraph" w:styleId="9">
    <w:name w:val="header"/>
    <w:basedOn w:val="1"/>
    <w:link w:val="18"/>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0"/>
    <w:pPr>
      <w:spacing w:line="360" w:lineRule="auto"/>
      <w:ind w:firstLine="700" w:firstLineChars="250"/>
    </w:pPr>
    <w:rPr>
      <w:rFonts w:ascii="Times New Roman" w:hAnsi="Times New Roman" w:eastAsia="仿宋" w:cs="Times New Roman"/>
      <w:sz w:val="24"/>
      <w:szCs w:val="24"/>
    </w:rPr>
  </w:style>
  <w:style w:type="paragraph" w:styleId="11">
    <w:name w:val="annotation subject"/>
    <w:basedOn w:val="6"/>
    <w:next w:val="6"/>
    <w:link w:val="22"/>
    <w:unhideWhenUsed/>
    <w:qFormat/>
    <w:uiPriority w:val="0"/>
    <w:rPr>
      <w:b/>
      <w:bCs/>
    </w:rPr>
  </w:style>
  <w:style w:type="table" w:styleId="13">
    <w:name w:val="Table Grid"/>
    <w:basedOn w:val="1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FollowedHyperlink"/>
    <w:basedOn w:val="14"/>
    <w:semiHidden/>
    <w:unhideWhenUsed/>
    <w:qFormat/>
    <w:uiPriority w:val="99"/>
    <w:rPr>
      <w:color w:val="800080"/>
      <w:u w:val="single"/>
    </w:rPr>
  </w:style>
  <w:style w:type="character" w:styleId="16">
    <w:name w:val="Hyperlink"/>
    <w:basedOn w:val="14"/>
    <w:semiHidden/>
    <w:unhideWhenUsed/>
    <w:qFormat/>
    <w:uiPriority w:val="99"/>
    <w:rPr>
      <w:color w:val="0000FF"/>
      <w:u w:val="single"/>
    </w:rPr>
  </w:style>
  <w:style w:type="character" w:styleId="17">
    <w:name w:val="annotation reference"/>
    <w:basedOn w:val="14"/>
    <w:unhideWhenUsed/>
    <w:qFormat/>
    <w:uiPriority w:val="0"/>
    <w:rPr>
      <w:sz w:val="21"/>
      <w:szCs w:val="21"/>
    </w:rPr>
  </w:style>
  <w:style w:type="character" w:customStyle="1" w:styleId="18">
    <w:name w:val="页眉 字符"/>
    <w:basedOn w:val="14"/>
    <w:link w:val="9"/>
    <w:qFormat/>
    <w:uiPriority w:val="99"/>
    <w:rPr>
      <w:sz w:val="18"/>
      <w:szCs w:val="18"/>
    </w:rPr>
  </w:style>
  <w:style w:type="character" w:customStyle="1" w:styleId="19">
    <w:name w:val="页脚 字符"/>
    <w:basedOn w:val="14"/>
    <w:link w:val="8"/>
    <w:qFormat/>
    <w:uiPriority w:val="99"/>
    <w:rPr>
      <w:sz w:val="18"/>
      <w:szCs w:val="18"/>
    </w:rPr>
  </w:style>
  <w:style w:type="paragraph" w:styleId="20">
    <w:name w:val="List Paragraph"/>
    <w:basedOn w:val="1"/>
    <w:qFormat/>
    <w:uiPriority w:val="34"/>
    <w:pPr>
      <w:spacing w:line="360" w:lineRule="auto"/>
      <w:ind w:firstLine="420" w:firstLineChars="200"/>
    </w:pPr>
    <w:rPr>
      <w:rFonts w:ascii="仿宋" w:hAnsi="仿宋" w:eastAsia="仿宋" w:cs="Times New Roman"/>
      <w:sz w:val="28"/>
      <w:szCs w:val="28"/>
    </w:rPr>
  </w:style>
  <w:style w:type="character" w:customStyle="1" w:styleId="21">
    <w:name w:val="批注文字 字符"/>
    <w:basedOn w:val="14"/>
    <w:link w:val="6"/>
    <w:qFormat/>
    <w:uiPriority w:val="0"/>
  </w:style>
  <w:style w:type="character" w:customStyle="1" w:styleId="22">
    <w:name w:val="批注主题 字符"/>
    <w:basedOn w:val="21"/>
    <w:link w:val="11"/>
    <w:qFormat/>
    <w:uiPriority w:val="0"/>
    <w:rPr>
      <w:b/>
      <w:bCs/>
    </w:rPr>
  </w:style>
  <w:style w:type="character" w:customStyle="1" w:styleId="23">
    <w:name w:val="批注框文本 字符"/>
    <w:basedOn w:val="14"/>
    <w:link w:val="7"/>
    <w:qFormat/>
    <w:uiPriority w:val="0"/>
    <w:rPr>
      <w:sz w:val="18"/>
      <w:szCs w:val="18"/>
    </w:rPr>
  </w:style>
  <w:style w:type="character" w:customStyle="1" w:styleId="24">
    <w:name w:val="标题 1 字符"/>
    <w:basedOn w:val="14"/>
    <w:link w:val="2"/>
    <w:qFormat/>
    <w:uiPriority w:val="0"/>
    <w:rPr>
      <w:rFonts w:ascii="Times New Roman" w:hAnsi="Times New Roman" w:eastAsia="宋体" w:cs="Times New Roman"/>
      <w:b/>
      <w:bCs/>
      <w:kern w:val="44"/>
      <w:sz w:val="44"/>
      <w:szCs w:val="44"/>
    </w:rPr>
  </w:style>
  <w:style w:type="character" w:customStyle="1" w:styleId="25">
    <w:name w:val="标题 2 字符"/>
    <w:basedOn w:val="14"/>
    <w:link w:val="3"/>
    <w:qFormat/>
    <w:uiPriority w:val="0"/>
    <w:rPr>
      <w:rFonts w:ascii="Arial" w:hAnsi="Arial" w:eastAsia="黑体" w:cs="Times New Roman"/>
      <w:b/>
      <w:kern w:val="2"/>
      <w:sz w:val="32"/>
      <w:szCs w:val="24"/>
    </w:rPr>
  </w:style>
  <w:style w:type="character" w:customStyle="1" w:styleId="26">
    <w:name w:val="标题 3 字符"/>
    <w:basedOn w:val="14"/>
    <w:link w:val="4"/>
    <w:qFormat/>
    <w:uiPriority w:val="0"/>
    <w:rPr>
      <w:rFonts w:ascii="Times New Roman" w:hAnsi="Times New Roman" w:eastAsia="宋体" w:cs="Times New Roman"/>
      <w:b/>
      <w:kern w:val="2"/>
      <w:sz w:val="32"/>
      <w:szCs w:val="24"/>
    </w:rPr>
  </w:style>
  <w:style w:type="character" w:customStyle="1" w:styleId="27">
    <w:name w:val="标题 4 字符"/>
    <w:basedOn w:val="14"/>
    <w:link w:val="5"/>
    <w:semiHidden/>
    <w:qFormat/>
    <w:uiPriority w:val="9"/>
    <w:rPr>
      <w:rFonts w:asciiTheme="majorHAnsi" w:hAnsiTheme="majorHAnsi" w:eastAsiaTheme="majorEastAsia" w:cstheme="majorBidi"/>
      <w:b/>
      <w:bCs/>
      <w:kern w:val="2"/>
      <w:sz w:val="28"/>
      <w:szCs w:val="28"/>
    </w:rPr>
  </w:style>
  <w:style w:type="table" w:customStyle="1" w:styleId="28">
    <w:name w:val="网格型6"/>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
    <w:name w:val="网格型61"/>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0">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1">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32">
    <w:name w:val="xl68"/>
    <w:basedOn w:val="1"/>
    <w:qFormat/>
    <w:uiPriority w:val="0"/>
    <w:pPr>
      <w:widowControl/>
      <w:spacing w:before="100" w:beforeAutospacing="1" w:after="100" w:afterAutospacing="1"/>
      <w:jc w:val="left"/>
    </w:pPr>
    <w:rPr>
      <w:rFonts w:ascii="仿宋" w:hAnsi="仿宋" w:eastAsia="仿宋" w:cs="宋体"/>
      <w:kern w:val="0"/>
      <w:sz w:val="18"/>
      <w:szCs w:val="18"/>
    </w:rPr>
  </w:style>
  <w:style w:type="paragraph" w:customStyle="1" w:styleId="33">
    <w:name w:val="xl69"/>
    <w:basedOn w:val="1"/>
    <w:qFormat/>
    <w:uiPriority w:val="0"/>
    <w:pPr>
      <w:widowControl/>
      <w:spacing w:before="100" w:beforeAutospacing="1" w:after="100" w:afterAutospacing="1"/>
      <w:jc w:val="left"/>
    </w:pPr>
    <w:rPr>
      <w:rFonts w:ascii="仿宋" w:hAnsi="仿宋" w:eastAsia="仿宋" w:cs="宋体"/>
      <w:kern w:val="0"/>
      <w:sz w:val="24"/>
      <w:szCs w:val="24"/>
    </w:rPr>
  </w:style>
  <w:style w:type="paragraph" w:customStyle="1" w:styleId="34">
    <w:name w:val="xl70"/>
    <w:basedOn w:val="1"/>
    <w:qFormat/>
    <w:uiPriority w:val="0"/>
    <w:pPr>
      <w:widowControl/>
      <w:spacing w:before="100" w:beforeAutospacing="1" w:after="100" w:afterAutospacing="1"/>
      <w:jc w:val="left"/>
    </w:pPr>
    <w:rPr>
      <w:rFonts w:ascii="仿宋" w:hAnsi="仿宋" w:eastAsia="仿宋" w:cs="宋体"/>
      <w:kern w:val="0"/>
      <w:sz w:val="24"/>
      <w:szCs w:val="24"/>
    </w:rPr>
  </w:style>
  <w:style w:type="paragraph" w:customStyle="1" w:styleId="35">
    <w:name w:val="xl71"/>
    <w:basedOn w:val="1"/>
    <w:qFormat/>
    <w:uiPriority w:val="0"/>
    <w:pPr>
      <w:widowControl/>
      <w:spacing w:before="100" w:beforeAutospacing="1" w:after="100" w:afterAutospacing="1"/>
      <w:jc w:val="left"/>
    </w:pPr>
    <w:rPr>
      <w:rFonts w:ascii="仿宋" w:hAnsi="仿宋" w:eastAsia="仿宋" w:cs="宋体"/>
      <w:kern w:val="0"/>
      <w:sz w:val="24"/>
      <w:szCs w:val="24"/>
    </w:rPr>
  </w:style>
  <w:style w:type="paragraph" w:customStyle="1" w:styleId="36">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b/>
      <w:bCs/>
      <w:kern w:val="0"/>
      <w:sz w:val="18"/>
      <w:szCs w:val="18"/>
    </w:rPr>
  </w:style>
  <w:style w:type="paragraph" w:customStyle="1" w:styleId="37">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b/>
      <w:bCs/>
      <w:kern w:val="0"/>
      <w:sz w:val="18"/>
      <w:szCs w:val="18"/>
    </w:rPr>
  </w:style>
  <w:style w:type="paragraph" w:customStyle="1" w:styleId="38">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 w:hAnsi="仿宋" w:eastAsia="仿宋" w:cs="宋体"/>
      <w:kern w:val="0"/>
      <w:sz w:val="18"/>
      <w:szCs w:val="18"/>
    </w:rPr>
  </w:style>
  <w:style w:type="paragraph" w:customStyle="1" w:styleId="39">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b/>
      <w:bCs/>
      <w:kern w:val="0"/>
      <w:sz w:val="28"/>
      <w:szCs w:val="28"/>
    </w:rPr>
  </w:style>
  <w:style w:type="paragraph" w:customStyle="1" w:styleId="40">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b/>
      <w:bCs/>
      <w:kern w:val="0"/>
      <w:sz w:val="28"/>
      <w:szCs w:val="28"/>
    </w:rPr>
  </w:style>
  <w:style w:type="paragraph" w:customStyle="1" w:styleId="41">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仿宋" w:hAnsi="仿宋" w:eastAsia="仿宋" w:cs="宋体"/>
      <w:kern w:val="0"/>
      <w:sz w:val="18"/>
      <w:szCs w:val="18"/>
    </w:rPr>
  </w:style>
  <w:style w:type="paragraph" w:customStyle="1" w:styleId="42">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仿宋" w:hAnsi="仿宋" w:eastAsia="仿宋" w:cs="宋体"/>
      <w:kern w:val="0"/>
      <w:sz w:val="18"/>
      <w:szCs w:val="18"/>
    </w:rPr>
  </w:style>
  <w:style w:type="table" w:customStyle="1" w:styleId="43">
    <w:name w:val="网格型浅色1"/>
    <w:basedOn w:val="12"/>
    <w:qFormat/>
    <w:uiPriority w:val="40"/>
    <w:rPr>
      <w:kern w:val="2"/>
      <w:sz w:val="21"/>
      <w:szCs w:val="22"/>
    </w:r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paragraph" w:customStyle="1" w:styleId="44">
    <w:name w:val="正文正文"/>
    <w:basedOn w:val="1"/>
    <w:link w:val="45"/>
    <w:autoRedefine/>
    <w:qFormat/>
    <w:uiPriority w:val="0"/>
    <w:pPr>
      <w:jc w:val="left"/>
    </w:pPr>
    <w:rPr>
      <w:rFonts w:ascii="仿宋_GB2312" w:hAnsi="Times New Roman" w:eastAsia="仿宋_GB2312" w:cs="Times New Roman"/>
      <w:kern w:val="0"/>
      <w:szCs w:val="21"/>
    </w:rPr>
  </w:style>
  <w:style w:type="character" w:customStyle="1" w:styleId="45">
    <w:name w:val="正文正文 字符"/>
    <w:basedOn w:val="14"/>
    <w:link w:val="44"/>
    <w:qFormat/>
    <w:uiPriority w:val="0"/>
    <w:rPr>
      <w:rFonts w:ascii="仿宋_GB2312" w:hAnsi="Times New Roman" w:eastAsia="仿宋_GB2312" w:cs="Times New Roman"/>
      <w:sz w:val="21"/>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194A5-2727-45A6-B399-6770F09E8585}">
  <ds:schemaRefs/>
</ds:datastoreItem>
</file>

<file path=docProps/app.xml><?xml version="1.0" encoding="utf-8"?>
<Properties xmlns="http://schemas.openxmlformats.org/officeDocument/2006/extended-properties" xmlns:vt="http://schemas.openxmlformats.org/officeDocument/2006/docPropsVTypes">
  <Template>Normal</Template>
  <Pages>3</Pages>
  <Words>594</Words>
  <Characters>653</Characters>
  <Lines>8</Lines>
  <Paragraphs>2</Paragraphs>
  <TotalTime>2</TotalTime>
  <ScaleCrop>false</ScaleCrop>
  <LinksUpToDate>false</LinksUpToDate>
  <CharactersWithSpaces>653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2024-12-04T06:39:00Z</dcterms:created>
  <dc:creator>黄月琴</dc:creator>
  <cp:lastModifiedBy>王烜</cp:lastModifiedBy>
  <cp:lastPrinted>2025-02-11T09:23:00Z</cp:lastPrinted>
  <dcterms:modified xsi:type="dcterms:W3CDTF">2026-08-07T06:54:44Z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4D24D8317B524629A92201FC467CE39C_13</vt:lpwstr>
  </property>
  <property fmtid="{D5CDD505-2E9C-101B-9397-08002B2CF9AE}" pid="4" name="KSOTemplateDocerSaveRecord">
    <vt:lpwstr>eyJoZGlkIjoiNTJkY2QwZDk0N2NjNDgyZWNiNjQ5YjQzNjg5MWYyNjMiLCJ1c2VySWQiOiIzODUwMDExMDIifQ==</vt:lpwstr>
  </property>
</Properties>
</file>