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AAD1D">
      <w:pPr>
        <w:jc w:val="center"/>
        <w:rPr>
          <w:rFonts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竞买须知</w:t>
      </w:r>
    </w:p>
    <w:p w14:paraId="17325B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u w:val="single"/>
          <w:shd w:val="clear" w:color="auto" w:fill="FFFFFF"/>
        </w:rPr>
        <w:t>广州资产管理有限公司将于202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8</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3</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10</w:t>
      </w:r>
      <w:r>
        <w:rPr>
          <w:rFonts w:hint="eastAsia" w:ascii="仿宋_GB2312" w:hAnsi="仿宋" w:eastAsia="仿宋_GB2312" w:cs="仿宋"/>
          <w:sz w:val="32"/>
          <w:szCs w:val="32"/>
          <w:u w:val="single"/>
          <w:shd w:val="clear" w:color="auto" w:fill="FFFFFF"/>
        </w:rPr>
        <w:t>时起至202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8</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3</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12</w:t>
      </w:r>
      <w:r>
        <w:rPr>
          <w:rFonts w:hint="eastAsia" w:ascii="仿宋_GB2312" w:hAnsi="仿宋" w:eastAsia="仿宋_GB2312" w:cs="仿宋"/>
          <w:sz w:val="32"/>
          <w:szCs w:val="32"/>
          <w:u w:val="single"/>
          <w:shd w:val="clear" w:color="auto" w:fill="FFFFFF"/>
        </w:rPr>
        <w:t>时止（</w:t>
      </w:r>
      <w:r>
        <w:rPr>
          <w:rFonts w:hint="eastAsia" w:ascii="仿宋_GB2312" w:hAnsi="仿宋" w:eastAsia="仿宋_GB2312" w:cs="仿宋"/>
          <w:sz w:val="32"/>
          <w:szCs w:val="32"/>
          <w:shd w:val="clear" w:color="auto" w:fill="FFFFFF"/>
          <w:lang w:bidi="ar"/>
        </w:rPr>
        <w:t>如发生自动延时的，截止时间以延长后的结束时间为准</w:t>
      </w:r>
      <w:r>
        <w:rPr>
          <w:rFonts w:hint="eastAsia" w:ascii="仿宋_GB2312" w:hAnsi="仿宋" w:eastAsia="仿宋_GB2312" w:cs="仿宋"/>
          <w:sz w:val="32"/>
          <w:szCs w:val="32"/>
          <w:u w:val="single"/>
          <w:shd w:val="clear" w:color="auto" w:fill="FFFFFF"/>
        </w:rPr>
        <w:t>）</w:t>
      </w:r>
      <w:r>
        <w:rPr>
          <w:rFonts w:hint="eastAsia" w:ascii="仿宋_GB2312" w:hAnsi="仿宋" w:eastAsia="仿宋_GB2312" w:cs="仿宋"/>
          <w:sz w:val="32"/>
          <w:szCs w:val="32"/>
          <w:shd w:val="clear" w:color="auto" w:fill="FFFFFF"/>
          <w:lang w:bidi="ar"/>
        </w:rPr>
        <w:t>在【</w:t>
      </w:r>
      <w:r>
        <w:rPr>
          <w:rFonts w:hint="eastAsia" w:ascii="仿宋_GB2312" w:hAnsi="仿宋" w:eastAsia="仿宋_GB2312" w:cs="仿宋"/>
          <w:sz w:val="32"/>
          <w:szCs w:val="32"/>
          <w:shd w:val="clear" w:color="auto" w:fill="FFFFFF"/>
          <w:lang w:val="en-US" w:eastAsia="zh-CN" w:bidi="ar"/>
        </w:rPr>
        <w:t>阿里资产</w:t>
      </w:r>
      <w:r>
        <w:rPr>
          <w:rFonts w:hint="eastAsia" w:ascii="仿宋_GB2312" w:hAnsi="仿宋" w:eastAsia="仿宋_GB2312" w:cs="仿宋"/>
          <w:sz w:val="32"/>
          <w:szCs w:val="32"/>
          <w:shd w:val="clear" w:color="auto" w:fill="FFFFFF"/>
          <w:lang w:bidi="ar"/>
        </w:rPr>
        <w:t>】网络平台（网址：【</w:t>
      </w:r>
      <w:r>
        <w:rPr>
          <w:rFonts w:hint="eastAsia" w:ascii="仿宋_GB2312" w:hAnsi="仿宋" w:eastAsia="仿宋_GB2312" w:cs="仿宋"/>
          <w:kern w:val="0"/>
          <w:sz w:val="32"/>
          <w:szCs w:val="32"/>
          <w:shd w:val="clear" w:color="auto" w:fill="FFFFFF"/>
          <w:lang w:bidi="ar"/>
        </w:rPr>
        <w:t>https://zc-paimai.taobao.com/</w:t>
      </w:r>
      <w:r>
        <w:rPr>
          <w:rFonts w:hint="eastAsia" w:ascii="仿宋_GB2312" w:hAnsi="仿宋" w:eastAsia="仿宋_GB2312" w:cs="仿宋"/>
          <w:sz w:val="32"/>
          <w:szCs w:val="32"/>
          <w:shd w:val="clear" w:color="auto" w:fill="FFFFFF"/>
          <w:lang w:bidi="ar"/>
        </w:rPr>
        <w:t>】，以下简称“拍卖平台”）开展对</w:t>
      </w:r>
      <w:r>
        <w:rPr>
          <w:rFonts w:hint="eastAsia" w:ascii="仿宋_GB2312" w:hAnsi="仿宋" w:eastAsia="仿宋_GB2312" w:cs="仿宋"/>
          <w:sz w:val="32"/>
          <w:szCs w:val="32"/>
          <w:u w:val="single"/>
          <w:shd w:val="clear" w:color="auto" w:fill="FFFFFF"/>
          <w:lang w:bidi="ar"/>
        </w:rPr>
        <w:t>【</w:t>
      </w:r>
      <w:r>
        <w:rPr>
          <w:rFonts w:hint="eastAsia" w:ascii="仿宋_GB2312" w:hAnsi="仿宋" w:eastAsia="仿宋_GB2312" w:cs="仿宋"/>
          <w:kern w:val="0"/>
          <w:sz w:val="32"/>
          <w:szCs w:val="32"/>
          <w:shd w:val="clear" w:color="auto" w:fill="FFFFFF"/>
          <w:lang w:bidi="ar"/>
        </w:rPr>
        <w:t>南海市松岗耐卡风扇厂等6户</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sz w:val="32"/>
          <w:szCs w:val="32"/>
          <w:shd w:val="clear" w:color="auto" w:fill="FFFFFF"/>
          <w:lang w:bidi="ar"/>
        </w:rPr>
        <w:t>的公开竞价活动</w:t>
      </w:r>
      <w:r>
        <w:rPr>
          <w:rFonts w:hint="eastAsia" w:ascii="仿宋_GB2312" w:hAnsi="仿宋" w:eastAsia="仿宋_GB2312" w:cs="仿宋"/>
          <w:sz w:val="32"/>
          <w:szCs w:val="32"/>
          <w:shd w:val="clear" w:color="auto" w:fill="FFFFFF"/>
        </w:rPr>
        <w:t>，现就有关的网上竞价事宜敬告各位竞买人：</w:t>
      </w:r>
    </w:p>
    <w:p w14:paraId="0450FAE8">
      <w:pPr>
        <w:pStyle w:val="6"/>
        <w:widowControl/>
        <w:numPr>
          <w:ilvl w:val="0"/>
          <w:numId w:val="1"/>
        </w:numPr>
        <w:shd w:val="clear" w:color="auto" w:fill="FFFFFF"/>
        <w:spacing w:before="0" w:beforeAutospacing="0" w:after="75" w:afterAutospacing="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pPr>
        <w:pStyle w:val="6"/>
        <w:widowControl/>
        <w:numPr>
          <w:ilvl w:val="0"/>
          <w:numId w:val="1"/>
        </w:numPr>
        <w:shd w:val="clear" w:color="auto" w:fill="FFFFFF"/>
        <w:spacing w:before="0" w:beforeAutospacing="0" w:after="75" w:afterAutospacing="0"/>
        <w:jc w:val="both"/>
        <w:rPr>
          <w:rFonts w:ascii="黑体" w:hAnsi="黑体" w:eastAsia="黑体" w:cs="仿宋"/>
          <w:b/>
          <w:sz w:val="32"/>
          <w:szCs w:val="32"/>
        </w:rPr>
      </w:pPr>
      <w:r>
        <w:rPr>
          <w:rFonts w:hint="eastAsia" w:ascii="黑体" w:hAnsi="黑体" w:eastAsia="黑体" w:cs="仿宋"/>
          <w:b/>
          <w:bCs/>
          <w:sz w:val="32"/>
          <w:szCs w:val="32"/>
        </w:rPr>
        <w:t>竞价安排</w:t>
      </w:r>
    </w:p>
    <w:p w14:paraId="76B17359">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bCs/>
          <w:sz w:val="32"/>
          <w:szCs w:val="32"/>
        </w:rPr>
      </w:pPr>
      <w:r>
        <w:rPr>
          <w:rFonts w:hint="eastAsia" w:ascii="楷体_GB2312" w:hAnsi="仿宋" w:eastAsia="楷体_GB2312" w:cs="仿宋"/>
          <w:b/>
          <w:bCs/>
          <w:sz w:val="32"/>
          <w:szCs w:val="32"/>
        </w:rPr>
        <w:t>（一）竞价标的资产</w:t>
      </w:r>
    </w:p>
    <w:p w14:paraId="1E8DD76E">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sz w:val="32"/>
          <w:szCs w:val="32"/>
          <w:u w:val="single"/>
          <w:shd w:val="clear" w:color="auto" w:fill="FFFFFF"/>
          <w:lang w:bidi="ar"/>
        </w:rPr>
        <w:t>【</w:t>
      </w:r>
      <w:r>
        <w:rPr>
          <w:rFonts w:hint="eastAsia" w:ascii="仿宋_GB2312" w:hAnsi="仿宋" w:eastAsia="仿宋_GB2312" w:cs="仿宋"/>
          <w:kern w:val="0"/>
          <w:sz w:val="32"/>
          <w:szCs w:val="32"/>
          <w:shd w:val="clear" w:color="auto" w:fill="FFFFFF"/>
          <w:lang w:bidi="ar"/>
        </w:rPr>
        <w:t>南海市松岗耐卡风扇厂等6户</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bCs/>
          <w:sz w:val="32"/>
          <w:szCs w:val="32"/>
          <w:shd w:val="clear" w:color="auto" w:fill="FFFFFF"/>
          <w:lang w:bidi="ar"/>
        </w:rPr>
        <w:t>竞买起拍价：【</w:t>
      </w:r>
      <w:r>
        <w:rPr>
          <w:rFonts w:hint="eastAsia" w:ascii="仿宋_GB2312" w:hAnsi="仿宋" w:eastAsia="仿宋_GB2312" w:cs="仿宋"/>
          <w:bCs/>
          <w:sz w:val="32"/>
          <w:szCs w:val="32"/>
          <w:shd w:val="clear" w:color="auto" w:fill="FFFFFF"/>
          <w:lang w:val="en-US" w:eastAsia="zh-CN" w:bidi="ar"/>
        </w:rPr>
        <w:t>12,800,000</w:t>
      </w:r>
      <w:r>
        <w:rPr>
          <w:rFonts w:hint="eastAsia" w:ascii="仿宋_GB2312" w:hAnsi="仿宋" w:eastAsia="仿宋_GB2312" w:cs="仿宋"/>
          <w:bCs/>
          <w:sz w:val="32"/>
          <w:szCs w:val="32"/>
          <w:shd w:val="clear" w:color="auto" w:fill="FFFFFF"/>
          <w:lang w:bidi="ar"/>
        </w:rPr>
        <w:t>】元；</w:t>
      </w:r>
    </w:p>
    <w:p w14:paraId="61AF24FB">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保证金：【</w:t>
      </w:r>
      <w:r>
        <w:rPr>
          <w:rFonts w:hint="eastAsia" w:ascii="仿宋_GB2312" w:hAnsi="仿宋" w:eastAsia="仿宋_GB2312" w:cs="仿宋"/>
          <w:bCs/>
          <w:sz w:val="32"/>
          <w:szCs w:val="32"/>
          <w:shd w:val="clear" w:color="auto" w:fill="FFFFFF"/>
          <w:lang w:val="en-US" w:eastAsia="zh-CN" w:bidi="ar"/>
        </w:rPr>
        <w:t>1,280,000</w:t>
      </w:r>
      <w:r>
        <w:rPr>
          <w:rFonts w:hint="eastAsia" w:ascii="仿宋_GB2312" w:hAnsi="仿宋" w:eastAsia="仿宋_GB2312" w:cs="仿宋"/>
          <w:bCs/>
          <w:sz w:val="32"/>
          <w:szCs w:val="32"/>
          <w:shd w:val="clear" w:color="auto" w:fill="FFFFFF"/>
          <w:lang w:bidi="ar"/>
        </w:rPr>
        <w:t>】元；</w:t>
      </w:r>
    </w:p>
    <w:p w14:paraId="6F67B0D4">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增价幅度：【</w:t>
      </w:r>
      <w:r>
        <w:rPr>
          <w:rFonts w:hint="eastAsia" w:ascii="仿宋_GB2312" w:hAnsi="仿宋" w:eastAsia="仿宋_GB2312" w:cs="仿宋"/>
          <w:bCs/>
          <w:sz w:val="32"/>
          <w:szCs w:val="32"/>
          <w:shd w:val="clear" w:color="auto" w:fill="FFFFFF"/>
          <w:lang w:val="en-US" w:eastAsia="zh-CN" w:bidi="ar"/>
        </w:rPr>
        <w:t>100,000</w:t>
      </w:r>
      <w:r>
        <w:rPr>
          <w:rFonts w:hint="eastAsia" w:ascii="仿宋_GB2312" w:hAnsi="仿宋" w:eastAsia="仿宋_GB2312" w:cs="仿宋"/>
          <w:bCs/>
          <w:sz w:val="32"/>
          <w:szCs w:val="32"/>
          <w:shd w:val="clear" w:color="auto" w:fill="FFFFFF"/>
          <w:lang w:bidi="ar"/>
        </w:rPr>
        <w:t>】元及其整数倍数。</w:t>
      </w:r>
    </w:p>
    <w:p w14:paraId="1B470530">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sz w:val="32"/>
          <w:szCs w:val="32"/>
          <w:shd w:val="clear" w:color="auto" w:fill="FFFFFF"/>
          <w:lang w:bidi="ar"/>
        </w:rPr>
      </w:pPr>
      <w:r>
        <w:rPr>
          <w:rFonts w:hint="eastAsia" w:ascii="楷体_GB2312" w:hAnsi="仿宋" w:eastAsia="楷体_GB2312" w:cs="仿宋"/>
          <w:b/>
          <w:sz w:val="32"/>
          <w:szCs w:val="32"/>
          <w:shd w:val="clear" w:color="auto" w:fill="FFFFFF"/>
          <w:lang w:bidi="ar"/>
        </w:rPr>
        <w:t>（二）保证金交纳</w:t>
      </w:r>
    </w:p>
    <w:p w14:paraId="28EE6454">
      <w:pPr>
        <w:widowControl/>
        <w:shd w:val="clear" w:color="auto" w:fill="FFFFFF"/>
        <w:spacing w:line="360" w:lineRule="auto"/>
        <w:ind w:firstLine="640" w:firstLineChars="200"/>
        <w:rPr>
          <w:rFonts w:ascii="仿宋_GB2312" w:hAnsi="仿宋" w:eastAsia="仿宋_GB2312" w:cs="仿宋"/>
          <w:kern w:val="0"/>
          <w:sz w:val="32"/>
          <w:szCs w:val="32"/>
          <w:highlight w:val="none"/>
          <w:shd w:val="clear" w:color="auto" w:fill="FFFFFF"/>
          <w:lang w:bidi="ar"/>
        </w:rPr>
      </w:pP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31</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30</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pPr>
        <w:pStyle w:val="6"/>
        <w:widowControl/>
        <w:numPr>
          <w:ilvl w:val="0"/>
          <w:numId w:val="2"/>
        </w:numPr>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竞买人条件</w:t>
      </w:r>
    </w:p>
    <w:p w14:paraId="08E8649A">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2</w:t>
      </w:r>
      <w:r>
        <w:rPr>
          <w:rFonts w:ascii="仿宋_GB2312" w:hAnsi="仿宋" w:eastAsia="仿宋_GB2312" w:cs="仿宋"/>
          <w:sz w:val="32"/>
          <w:szCs w:val="32"/>
          <w:shd w:val="clear" w:color="auto" w:fill="FFFFFF"/>
          <w:lang w:bidi="ar"/>
        </w:rPr>
        <w:t>.</w:t>
      </w:r>
      <w:r>
        <w:rPr>
          <w:rFonts w:hint="eastAsia" w:ascii="仿宋_GB2312" w:hAnsi="仿宋" w:eastAsia="仿宋_GB2312" w:cs="仿宋"/>
          <w:sz w:val="32"/>
          <w:szCs w:val="32"/>
          <w:shd w:val="clear" w:color="auto" w:fill="FFFFFF"/>
          <w:lang w:bidi="ar"/>
        </w:rPr>
        <w:t>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1BD0474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3</w:t>
      </w:r>
      <w:r>
        <w:rPr>
          <w:rFonts w:hint="eastAsia" w:ascii="仿宋_GB2312" w:hAnsi="仿宋" w:eastAsia="仿宋_GB2312" w:cs="仿宋"/>
          <w:kern w:val="0"/>
          <w:sz w:val="32"/>
          <w:szCs w:val="32"/>
          <w:shd w:val="clear" w:color="auto" w:fill="FFFFFF"/>
          <w:lang w:bidi="ar"/>
        </w:rPr>
        <w:t>．竞买人须信誉良好，资金来源合法合规，能承担购买债权所带来的风险。</w:t>
      </w:r>
    </w:p>
    <w:p w14:paraId="6D5DD08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4</w:t>
      </w:r>
      <w:r>
        <w:rPr>
          <w:rFonts w:hint="eastAsia" w:ascii="仿宋_GB2312" w:hAnsi="仿宋" w:eastAsia="仿宋_GB2312" w:cs="仿宋"/>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pPr>
        <w:widowControl/>
        <w:shd w:val="clear" w:color="auto" w:fill="FFFFFF"/>
        <w:spacing w:line="360" w:lineRule="auto"/>
        <w:ind w:firstLine="640" w:firstLineChars="200"/>
        <w:jc w:val="left"/>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5</w:t>
      </w:r>
      <w:r>
        <w:rPr>
          <w:rFonts w:hint="eastAsia" w:ascii="仿宋_GB2312" w:hAnsi="仿宋" w:eastAsia="仿宋_GB2312" w:cs="仿宋"/>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pPr>
        <w:widowControl/>
        <w:numPr>
          <w:ilvl w:val="255"/>
          <w:numId w:val="0"/>
        </w:numPr>
        <w:shd w:val="clear" w:color="auto" w:fill="FFFFFF"/>
        <w:spacing w:after="75"/>
        <w:ind w:firstLine="640" w:firstLineChars="200"/>
        <w:rPr>
          <w:rFonts w:ascii="仿宋_GB2312" w:hAnsi="仿宋" w:eastAsia="仿宋_GB2312" w:cs="仿宋"/>
          <w:sz w:val="32"/>
          <w:szCs w:val="32"/>
        </w:rPr>
      </w:pPr>
      <w:r>
        <w:rPr>
          <w:rFonts w:ascii="仿宋_GB2312" w:hAnsi="仿宋" w:eastAsia="仿宋_GB2312" w:cs="仿宋"/>
          <w:kern w:val="0"/>
          <w:sz w:val="32"/>
          <w:szCs w:val="32"/>
          <w:shd w:val="clear" w:color="auto" w:fill="FFFFFF"/>
          <w:lang w:bidi="ar"/>
        </w:rPr>
        <w:t>6</w:t>
      </w:r>
      <w:r>
        <w:rPr>
          <w:rFonts w:hint="eastAsia" w:ascii="仿宋_GB2312" w:hAnsi="仿宋" w:eastAsia="仿宋_GB2312" w:cs="仿宋"/>
          <w:kern w:val="0"/>
          <w:sz w:val="32"/>
          <w:szCs w:val="32"/>
          <w:shd w:val="clear" w:color="auto" w:fill="FFFFFF"/>
          <w:lang w:bidi="ar"/>
        </w:rPr>
        <w:t>．买受人应向广州资产管理有限公司提供《资金来源合法性声明函》。</w:t>
      </w:r>
    </w:p>
    <w:p w14:paraId="69D0EB21">
      <w:pPr>
        <w:pStyle w:val="6"/>
        <w:widowControl/>
        <w:shd w:val="clear" w:color="auto" w:fill="FFFFFF"/>
        <w:spacing w:before="0" w:beforeAutospacing="0" w:after="75" w:afterAutospacing="0"/>
        <w:ind w:left="562"/>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（四）如竞买人未开立拍卖平台账户</w:t>
      </w:r>
    </w:p>
    <w:p w14:paraId="4FD463D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如竞买人未开通拍卖平台账户，可委托代理人（须具备完全民事行为能力的自然人）进行，但须在竞价程序开始前向广州资产管理有限公司办理委托关系确认手续；竞买成功后，买受人（</w:t>
      </w:r>
      <w:r>
        <w:rPr>
          <w:rFonts w:hint="eastAsia" w:ascii="仿宋_GB2312" w:hAnsi="仿宋" w:eastAsia="仿宋_GB2312" w:cs="仿宋"/>
          <w:color w:val="000000"/>
          <w:sz w:val="32"/>
          <w:szCs w:val="32"/>
        </w:rPr>
        <w:t>自然人、法人</w:t>
      </w:r>
      <w:r>
        <w:rPr>
          <w:rFonts w:hint="eastAsia" w:ascii="仿宋_GB2312" w:hAnsi="仿宋" w:eastAsia="仿宋_GB2312" w:cs="仿宋"/>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pPr>
        <w:widowControl/>
        <w:spacing w:line="576" w:lineRule="exact"/>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sz w:val="32"/>
          <w:szCs w:val="32"/>
          <w:shd w:val="clear" w:color="auto" w:fill="FFFFFF"/>
        </w:rPr>
        <w:t>（五）</w:t>
      </w:r>
      <w:r>
        <w:rPr>
          <w:rFonts w:hint="eastAsia" w:ascii="楷体_GB2312" w:hAnsi="仿宋" w:eastAsia="楷体_GB2312" w:cs="仿宋"/>
          <w:b/>
          <w:bCs/>
          <w:kern w:val="0"/>
          <w:sz w:val="32"/>
          <w:szCs w:val="32"/>
          <w:shd w:val="clear" w:color="auto" w:fill="FFFFFF"/>
          <w:lang w:bidi="ar"/>
        </w:rPr>
        <w:t>优先购买权的行使</w:t>
      </w:r>
    </w:p>
    <w:p w14:paraId="33528250">
      <w:pPr>
        <w:widowControl/>
        <w:spacing w:line="576"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依据法律法规对标的资产享有优先购买权的主体，应当按照本须知亲自报名、缴纳保证金，并在竞价前【2】个工作日向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提交合法有效的证明以及明确表示行使优先购买权的书面文件（附报名及缴纳保证金的证明），经</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pPr>
        <w:widowControl/>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（六）延时功能</w:t>
      </w:r>
    </w:p>
    <w:p w14:paraId="524FBB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本次竞价活动设置延时出价功能，在竞价活动结束前，每最后5分钟如果有竞买人出价，就自动延迟5分钟。</w:t>
      </w:r>
    </w:p>
    <w:p w14:paraId="25DC4AF5">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（七）补登公告情形</w:t>
      </w:r>
    </w:p>
    <w:p w14:paraId="3E748E2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三、签约及付款期限</w:t>
      </w:r>
    </w:p>
    <w:p w14:paraId="3A2958F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lang w:bidi="ar"/>
        </w:rPr>
        <w:t>（一）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pPr>
        <w:widowControl/>
        <w:shd w:val="clear" w:color="auto" w:fill="FFFFFF"/>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shd w:val="clear" w:color="auto" w:fill="FFFFFF"/>
          <w:lang w:bidi="ar"/>
        </w:rPr>
        <w:t>（二）</w:t>
      </w:r>
      <w:r>
        <w:rPr>
          <w:rFonts w:hint="eastAsia" w:ascii="仿宋_GB2312" w:hAnsi="仿宋" w:eastAsia="仿宋_GB2312" w:cs="仿宋"/>
          <w:kern w:val="0"/>
          <w:sz w:val="32"/>
          <w:szCs w:val="32"/>
          <w:shd w:val="clear" w:color="auto" w:fill="FFFFFF"/>
          <w:lang w:bidi="ar"/>
        </w:rPr>
        <w:t>标的资产竞得者需于标的资产竞价成交之日起【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凭付款凭证及相关身份材料等原件）到广州资产管理有限公司（地址：广州市天河区珠江新城珠江东路28号越秀金融大厦58楼）正式签署广州资产管理有限公司提供的《债权转让协议》，逾期则视为买受人违约，竞价保证金不予退还。</w:t>
      </w:r>
    </w:p>
    <w:p w14:paraId="75529CB5">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（三）</w:t>
      </w:r>
      <w:r>
        <w:rPr>
          <w:rFonts w:hint="eastAsia" w:ascii="仿宋_GB2312" w:hAnsi="仿宋" w:eastAsia="仿宋_GB2312" w:cs="仿宋"/>
          <w:sz w:val="32"/>
          <w:szCs w:val="32"/>
          <w:shd w:val="clear" w:color="auto" w:fill="FFFFFF"/>
          <w:lang w:val="en-US" w:eastAsia="zh-CN" w:bidi="ar"/>
        </w:rPr>
        <w:t>付款方式为一次性付款</w:t>
      </w:r>
      <w:r>
        <w:rPr>
          <w:rFonts w:hint="eastAsia" w:ascii="仿宋_GB2312" w:hAnsi="仿宋" w:eastAsia="仿宋_GB2312" w:cs="仿宋"/>
          <w:sz w:val="32"/>
          <w:szCs w:val="32"/>
          <w:shd w:val="clear" w:color="auto" w:fill="FFFFFF"/>
          <w:lang w:bidi="ar"/>
        </w:rPr>
        <w:t>。具体如下：</w:t>
      </w:r>
    </w:p>
    <w:p w14:paraId="6AB8E32F">
      <w:pPr>
        <w:widowControl/>
        <w:shd w:val="clear" w:color="auto" w:fill="FFFFFF"/>
        <w:spacing w:line="360" w:lineRule="auto"/>
        <w:ind w:firstLine="640" w:firstLineChars="200"/>
        <w:rPr>
          <w:rFonts w:ascii="仿宋_GB2312" w:hAnsi="仿宋" w:eastAsia="仿宋_GB2312" w:cs="仿宋"/>
          <w:sz w:val="32"/>
          <w:szCs w:val="32"/>
          <w:shd w:val="clear" w:color="auto" w:fill="FFFFFF"/>
          <w:lang w:bidi="ar"/>
        </w:rPr>
      </w:pPr>
      <w:r>
        <w:rPr>
          <w:rFonts w:hint="eastAsia" w:ascii="仿宋_GB2312" w:hAnsi="仿宋" w:eastAsia="仿宋_GB2312" w:cs="仿宋"/>
          <w:kern w:val="0"/>
          <w:sz w:val="32"/>
          <w:szCs w:val="32"/>
          <w:shd w:val="clear" w:color="auto" w:fill="FFFFFF"/>
          <w:lang w:val="en-US" w:eastAsia="zh-CN" w:bidi="ar"/>
        </w:rPr>
        <w:t>买受人须于签署协议之日起【5】个工作日内支付全款。</w:t>
      </w:r>
    </w:p>
    <w:p w14:paraId="10C8FE97">
      <w:pPr>
        <w:pStyle w:val="6"/>
        <w:widowControl/>
        <w:numPr>
          <w:ilvl w:val="255"/>
          <w:numId w:val="0"/>
        </w:numPr>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四、保证金规则及违约责任</w:t>
      </w:r>
    </w:p>
    <w:p w14:paraId="2C52629F">
      <w:pPr>
        <w:widowControl/>
        <w:shd w:val="clear" w:color="auto" w:fill="FFFFFF"/>
        <w:spacing w:line="360" w:lineRule="auto"/>
        <w:ind w:firstLine="643" w:firstLineChars="200"/>
        <w:rPr>
          <w:rFonts w:ascii="楷体_GB2312" w:hAnsi="仿宋" w:eastAsia="楷体_GB2312" w:cs="仿宋"/>
          <w:b/>
          <w:kern w:val="0"/>
          <w:sz w:val="32"/>
          <w:szCs w:val="32"/>
          <w:shd w:val="clear" w:color="auto" w:fill="FFFFFF"/>
          <w:lang w:bidi="ar"/>
        </w:rPr>
      </w:pPr>
      <w:r>
        <w:rPr>
          <w:rFonts w:hint="eastAsia" w:ascii="楷体_GB2312" w:hAnsi="仿宋" w:eastAsia="楷体_GB2312" w:cs="仿宋"/>
          <w:b/>
          <w:kern w:val="0"/>
          <w:sz w:val="32"/>
          <w:szCs w:val="32"/>
          <w:shd w:val="clear" w:color="auto" w:fill="FFFFFF"/>
          <w:lang w:bidi="ar"/>
        </w:rPr>
        <w:t>（一）保证金规则</w:t>
      </w:r>
    </w:p>
    <w:p w14:paraId="59B90CBC">
      <w:pPr>
        <w:widowControl/>
        <w:shd w:val="clear" w:color="auto" w:fill="FFFFFF"/>
        <w:spacing w:line="360" w:lineRule="auto"/>
        <w:ind w:firstLine="640" w:firstLineChars="200"/>
        <w:rPr>
          <w:rFonts w:ascii="仿宋_GB2312" w:hAnsi="仿宋" w:eastAsia="仿宋_GB2312" w:cs="仿宋"/>
          <w:bCs/>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1.正式竞价活动开始前，竞买人需按照《竞价公告》及《竞价须知》的要求向广州资产管理有限公司</w:t>
      </w:r>
      <w:r>
        <w:rPr>
          <w:rFonts w:hint="eastAsia" w:ascii="仿宋_GB2312" w:hAnsi="仿宋" w:eastAsia="仿宋_GB2312" w:cs="仿宋"/>
          <w:sz w:val="32"/>
          <w:szCs w:val="32"/>
          <w:shd w:val="clear" w:color="auto" w:fill="FFFFFF"/>
          <w:lang w:bidi="ar"/>
        </w:rPr>
        <w:t>【或拍卖平台】</w:t>
      </w:r>
      <w:r>
        <w:rPr>
          <w:rFonts w:hint="eastAsia" w:ascii="仿宋_GB2312" w:hAnsi="仿宋" w:eastAsia="仿宋_GB2312" w:cs="仿宋"/>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Pr>
          <w:rFonts w:hint="eastAsia" w:ascii="仿宋_GB2312" w:hAnsi="仿宋" w:eastAsia="仿宋_GB2312" w:cs="仿宋"/>
          <w:sz w:val="32"/>
          <w:szCs w:val="32"/>
          <w:shd w:val="clear" w:color="auto" w:fill="FFFFFF"/>
        </w:rPr>
        <w:t>（通过拍卖平台缴纳保证金的，具体退回规则以拍卖平台相关规定为准）</w:t>
      </w:r>
      <w:r>
        <w:rPr>
          <w:rFonts w:hint="eastAsia" w:ascii="仿宋_GB2312" w:hAnsi="仿宋" w:eastAsia="仿宋_GB2312" w:cs="仿宋"/>
          <w:bCs/>
          <w:kern w:val="0"/>
          <w:sz w:val="32"/>
          <w:szCs w:val="32"/>
          <w:shd w:val="clear" w:color="auto" w:fill="FFFFFF"/>
          <w:lang w:bidi="ar"/>
        </w:rPr>
        <w:t>，期间不计利息。</w:t>
      </w:r>
    </w:p>
    <w:p w14:paraId="33EB978D">
      <w:pPr>
        <w:widowControl/>
        <w:shd w:val="clear" w:color="auto" w:fill="FFFFFF"/>
        <w:spacing w:line="360" w:lineRule="auto"/>
        <w:ind w:firstLine="640" w:firstLineChars="200"/>
        <w:rPr>
          <w:rFonts w:ascii="仿宋_GB2312" w:hAnsi="仿宋" w:eastAsia="仿宋_GB2312" w:cs="仿宋"/>
          <w:b/>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竞价涉及的平台服务费等相关费用由买受人承担，此项费用不含在竞拍报价中，由买受人另行支付。</w:t>
      </w:r>
    </w:p>
    <w:p w14:paraId="427119F1">
      <w:pPr>
        <w:widowControl/>
        <w:shd w:val="clear" w:color="auto" w:fill="FFFFFF"/>
        <w:spacing w:line="360" w:lineRule="auto"/>
        <w:ind w:firstLine="643"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w:t>
      </w:r>
      <w:r>
        <w:rPr>
          <w:rFonts w:hint="eastAsia" w:ascii="仿宋_GB2312" w:hAnsi="仿宋" w:eastAsia="仿宋_GB2312" w:cs="仿宋"/>
          <w:kern w:val="0"/>
          <w:sz w:val="32"/>
          <w:szCs w:val="32"/>
          <w:shd w:val="clear" w:color="auto" w:fill="FFFFFF"/>
          <w:lang w:bidi="ar"/>
        </w:rPr>
        <w:t>归广州资产管理有限公司所有，且广州资产管理有限公司可对标的资产重新处置：</w:t>
      </w:r>
    </w:p>
    <w:p w14:paraId="5DEC999E">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（1）竞买人不符合《竞买公告》、《竞买须知》中“竞买人条件”；</w:t>
      </w:r>
    </w:p>
    <w:p w14:paraId="7CEC839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（2）竞买人在竞价过程中违反竞价规则，扰乱竞价秩序；</w:t>
      </w:r>
    </w:p>
    <w:p w14:paraId="38E5A4FB">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（3）竞买人成功竞得标的资产后拒绝或未在规定期限内签订《债权转让协议》或未按《债权转让协议》约定按时足额支付成交款项及其他费用；</w:t>
      </w:r>
    </w:p>
    <w:p w14:paraId="24E6FC5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（4）竞买人存在逃废债情形；</w:t>
      </w:r>
    </w:p>
    <w:p w14:paraId="13DEBFF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（6）其他违法违规情形。</w:t>
      </w:r>
    </w:p>
    <w:p w14:paraId="3C48A016">
      <w:pPr>
        <w:widowControl/>
        <w:shd w:val="clear" w:color="auto" w:fill="FFFFFF"/>
        <w:spacing w:line="360" w:lineRule="auto"/>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kern w:val="0"/>
          <w:sz w:val="32"/>
          <w:szCs w:val="32"/>
          <w:shd w:val="clear" w:color="auto" w:fill="FFFFFF"/>
          <w:lang w:bidi="ar"/>
        </w:rPr>
        <w:t>（二）违约责任</w:t>
      </w:r>
    </w:p>
    <w:p w14:paraId="5E875674">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买受人应在竞买成功之日起【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如买受人签订《债权转让协议》后违反付款义务，未能按时足额支付相应款项，自逾期之日起，转让方有权采取以下救济措施：</w:t>
      </w:r>
    </w:p>
    <w:p w14:paraId="53469BC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（2）解除《债权转让协议》，该解除权不因买受人已付款项占成交价款的比例多少而受到影响，转让方有权选择单独或同时行使以下一项或多项权利：</w:t>
      </w:r>
    </w:p>
    <w:p w14:paraId="54EE2A3A">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①没收买受人已缴纳的竞拍保证金、履约保证金；</w:t>
      </w:r>
    </w:p>
    <w:p w14:paraId="07D4D3A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②要求买受人支付解约违约金，违约金数额为成交价款的【</w:t>
      </w:r>
      <w:r>
        <w:rPr>
          <w:rFonts w:hint="eastAsia" w:ascii="仿宋_GB2312" w:hAnsi="仿宋" w:eastAsia="仿宋_GB2312" w:cs="仿宋"/>
          <w:sz w:val="32"/>
          <w:szCs w:val="32"/>
          <w:shd w:val="clear" w:color="auto" w:fill="FFFFFF"/>
          <w:lang w:val="en-US" w:eastAsia="zh-CN" w:bidi="ar"/>
        </w:rPr>
        <w:t>30</w:t>
      </w:r>
      <w:r>
        <w:rPr>
          <w:rFonts w:hint="eastAsia" w:ascii="仿宋_GB2312" w:hAnsi="仿宋" w:eastAsia="仿宋_GB2312" w:cs="仿宋"/>
          <w:sz w:val="32"/>
          <w:szCs w:val="32"/>
          <w:shd w:val="clear" w:color="auto" w:fill="FFFFFF"/>
          <w:lang w:bidi="ar"/>
        </w:rPr>
        <w:t>】%；</w:t>
      </w:r>
    </w:p>
    <w:p w14:paraId="2142968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③要求买受人赔偿由此给转让方造成的损失（包括但不限于转让方将《债权转让协议》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《债权转让协议》解除后，转让方有权另行处置《债权转让协议》项下标的债权，标的债权后续处置与收益均与买受人无关。买受人不得就解除行为及/或标的债权向转让方主张任何权利。</w:t>
      </w:r>
    </w:p>
    <w:p w14:paraId="1980E5A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竞价成交后，买受人以任何理由违约的，已交纳的保证金不予退还，</w:t>
      </w:r>
      <w:r>
        <w:rPr>
          <w:rFonts w:hint="eastAsia" w:ascii="仿宋_GB2312" w:hAnsi="仿宋" w:eastAsia="仿宋_GB2312" w:cs="仿宋"/>
          <w:sz w:val="32"/>
          <w:szCs w:val="32"/>
          <w:shd w:val="clear" w:color="auto" w:fill="FFFFFF"/>
          <w:lang w:bidi="ar"/>
        </w:rPr>
        <w:t>广州资产管理有限公司</w:t>
      </w:r>
      <w:r>
        <w:rPr>
          <w:rFonts w:hint="eastAsia" w:ascii="仿宋_GB2312" w:hAnsi="仿宋" w:eastAsia="仿宋_GB2312" w:cs="仿宋"/>
          <w:sz w:val="32"/>
          <w:szCs w:val="32"/>
          <w:shd w:val="clear" w:color="auto" w:fill="FFFFFF"/>
        </w:rPr>
        <w:t>将依法对标的资产再行处置。标的资产再行公开竞价出售的，原买受人应当支付第一次竞拍中其本人及委托人应当支付的技术/交易服务费。再行处置成交价款低于原成交价款的，原买受人应当赔偿差额损失。违约后重新处置的，原买受人不得参加竞买。</w:t>
      </w:r>
    </w:p>
    <w:p w14:paraId="4E82FE30">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rPr>
      </w:pPr>
      <w:r>
        <w:rPr>
          <w:rFonts w:hint="eastAsia" w:ascii="黑体" w:hAnsi="黑体" w:eastAsia="黑体" w:cs="仿宋"/>
          <w:b/>
          <w:bCs/>
          <w:sz w:val="32"/>
          <w:szCs w:val="32"/>
          <w:shd w:val="clear" w:color="auto" w:fill="FFFFFF"/>
        </w:rPr>
        <w:t>五、重要提示</w:t>
      </w:r>
    </w:p>
    <w:p w14:paraId="6753E1A5">
      <w:pPr>
        <w:pStyle w:val="6"/>
        <w:widowControl/>
        <w:shd w:val="clear" w:color="auto" w:fill="FFFFFF"/>
        <w:spacing w:before="0" w:beforeAutospacing="0" w:after="75" w:afterAutospacing="0"/>
        <w:ind w:firstLine="640" w:firstLineChars="200"/>
        <w:jc w:val="both"/>
        <w:rPr>
          <w:rFonts w:ascii="仿宋_GB2312" w:hAnsi="仿宋" w:eastAsia="仿宋_GB2312" w:cs="仿宋"/>
          <w:b/>
          <w:bCs/>
          <w:sz w:val="32"/>
          <w:szCs w:val="32"/>
          <w:shd w:val="clear" w:color="auto" w:fill="FFFFFF"/>
        </w:rPr>
      </w:pPr>
      <w:r>
        <w:rPr>
          <w:rFonts w:hint="eastAsia" w:ascii="仿宋_GB2312" w:hAnsi="仿宋" w:eastAsia="仿宋_GB2312" w:cs="仿宋"/>
          <w:sz w:val="32"/>
          <w:szCs w:val="32"/>
          <w:shd w:val="clear" w:color="auto" w:fill="FFFFFF"/>
        </w:rPr>
        <w:t>（一）</w:t>
      </w:r>
      <w:r>
        <w:rPr>
          <w:rFonts w:hint="eastAsia" w:ascii="仿宋_GB2312" w:hAnsi="仿宋" w:eastAsia="仿宋_GB2312" w:cs="仿宋"/>
          <w:sz w:val="32"/>
          <w:szCs w:val="32"/>
          <w:shd w:val="clear" w:color="auto" w:fill="FFFFFF"/>
          <w:lang w:bidi="ar"/>
        </w:rPr>
        <w:t>标的资产按现状转让，</w:t>
      </w:r>
      <w:r>
        <w:rPr>
          <w:rFonts w:hint="eastAsia" w:ascii="仿宋_GB2312" w:hAnsi="仿宋" w:eastAsia="仿宋_GB2312" w:cs="仿宋"/>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Pr>
          <w:rFonts w:hint="eastAsia" w:ascii="仿宋_GB2312" w:hAnsi="仿宋" w:eastAsia="仿宋_GB2312" w:cs="仿宋"/>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pPr>
        <w:pStyle w:val="6"/>
        <w:widowControl/>
        <w:shd w:val="clear" w:color="auto" w:fill="FFFFFF"/>
        <w:spacing w:before="0" w:beforeAutospacing="0" w:after="75" w:afterAutospacing="0"/>
        <w:ind w:firstLine="643" w:firstLineChars="200"/>
        <w:jc w:val="both"/>
        <w:rPr>
          <w:rFonts w:ascii="仿宋_GB2312" w:hAnsi="仿宋" w:eastAsia="仿宋_GB2312" w:cs="仿宋"/>
          <w:sz w:val="32"/>
          <w:szCs w:val="32"/>
          <w:shd w:val="clear" w:color="auto" w:fill="FFFFFF"/>
        </w:rPr>
      </w:pPr>
      <w:r>
        <w:rPr>
          <w:rFonts w:hint="eastAsia" w:ascii="楷体_GB2312" w:hAnsi="仿宋" w:eastAsia="楷体_GB2312" w:cs="仿宋"/>
          <w:b/>
          <w:bCs/>
          <w:sz w:val="32"/>
          <w:szCs w:val="32"/>
          <w:shd w:val="clear" w:color="auto" w:fill="FFFFFF"/>
        </w:rPr>
        <w:t>（二）竞买人报名并缴纳相应竞买保证金，视为做出如下保证和承诺</w:t>
      </w:r>
    </w:p>
    <w:p w14:paraId="33740B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竞买人资格：竞买人符合本须知二（三）所述竞买人条件要求。因不符合条件参加竞买的，由竞买人自行承担相应的法律责任。</w:t>
      </w:r>
    </w:p>
    <w:p w14:paraId="61A5970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交易文件知悉：竞买人已仔细阅读并理解了广州资产管理有限公司发布的竞买公告、竞买须知、《债权转让协议》等文件，并完全接受上述文件所规定的交易条件，没有任何异议。</w:t>
      </w:r>
    </w:p>
    <w:p w14:paraId="53815CB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竞买人已被告知并完全理解，竞买人受让标的资产后，对该标的资产在基准日以后产生的利息、罚息、复利的请求权，竞买人可能无法继续享有。</w:t>
      </w:r>
    </w:p>
    <w:p w14:paraId="2285BFC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7</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债权转让协议》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8</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bookmarkStart w:id="0" w:name="OLE_LINK1"/>
      <w:r>
        <w:rPr>
          <w:rFonts w:hint="eastAsia" w:ascii="仿宋_GB2312" w:hAnsi="仿宋" w:eastAsia="仿宋_GB2312" w:cs="仿宋"/>
          <w:sz w:val="32"/>
          <w:szCs w:val="32"/>
          <w:shd w:val="clear" w:color="auto" w:fill="FFFFFF"/>
        </w:rPr>
        <w:t>（1）</w:t>
      </w:r>
      <w:bookmarkEnd w:id="0"/>
      <w:r>
        <w:rPr>
          <w:rFonts w:hint="eastAsia" w:ascii="仿宋_GB2312" w:hAnsi="仿宋" w:eastAsia="仿宋_GB2312" w:cs="仿宋"/>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3</w:t>
      </w:r>
      <w:r>
        <w:rPr>
          <w:rFonts w:hint="eastAsia" w:ascii="仿宋_GB2312" w:hAnsi="仿宋" w:eastAsia="仿宋_GB2312" w:cs="仿宋"/>
          <w:sz w:val="32"/>
          <w:szCs w:val="32"/>
          <w:shd w:val="clear" w:color="auto" w:fill="FFFFFF"/>
        </w:rPr>
        <w:t>）标的资产可能存在未生效、无效或被撤销的情形；</w:t>
      </w:r>
    </w:p>
    <w:p w14:paraId="3B66B7E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）标的资产文件可能存在不完整、原件缺失或内容冲突等相关情形；</w:t>
      </w:r>
    </w:p>
    <w:p w14:paraId="0947251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）担保合同可能存在约定主债权未经担保人同意不可转让或担保人只对特定债权人承担担保责任的情形；</w:t>
      </w:r>
    </w:p>
    <w:p w14:paraId="7EBDA98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7</w:t>
      </w:r>
      <w:r>
        <w:rPr>
          <w:rFonts w:hint="eastAsia" w:ascii="仿宋_GB2312" w:hAnsi="仿宋" w:eastAsia="仿宋_GB2312" w:cs="仿宋"/>
          <w:sz w:val="32"/>
          <w:szCs w:val="32"/>
          <w:shd w:val="clear" w:color="auto" w:fill="FFFFFF"/>
        </w:rPr>
        <w:t>）已经进入诉讼程序的标的资产，可能存在因转让方未在法定期限内申请继续查封而导致转让方对债务人的资产失去实际控制权；</w:t>
      </w:r>
    </w:p>
    <w:p w14:paraId="7B2CE65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8</w:t>
      </w:r>
      <w:r>
        <w:rPr>
          <w:rFonts w:hint="eastAsia" w:ascii="仿宋_GB2312" w:hAnsi="仿宋" w:eastAsia="仿宋_GB2312" w:cs="仿宋"/>
          <w:sz w:val="32"/>
          <w:szCs w:val="32"/>
          <w:shd w:val="clear" w:color="auto" w:fill="FFFFFF"/>
        </w:rPr>
        <w:t>）涉诉标的资产可能存在败诉、不能变更诉讼主体、执行主体等诉讼风险；</w:t>
      </w:r>
    </w:p>
    <w:p w14:paraId="213A51F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9</w:t>
      </w:r>
      <w:r>
        <w:rPr>
          <w:rFonts w:hint="eastAsia" w:ascii="仿宋_GB2312" w:hAnsi="仿宋" w:eastAsia="仿宋_GB2312" w:cs="仿宋"/>
          <w:sz w:val="32"/>
          <w:szCs w:val="32"/>
          <w:shd w:val="clear" w:color="auto" w:fill="FFFFFF"/>
        </w:rPr>
        <w:t>）标的资产可能存在欠缴各种诉讼费用的情形；</w:t>
      </w:r>
    </w:p>
    <w:p w14:paraId="1BDDD6E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）标的资产可能已被全部或部分减免、被抵销、被清偿；</w:t>
      </w:r>
    </w:p>
    <w:p w14:paraId="17E0B1D0">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11</w:t>
      </w:r>
      <w:r>
        <w:rPr>
          <w:rFonts w:hint="eastAsia" w:ascii="仿宋_GB2312" w:hAnsi="仿宋" w:eastAsia="仿宋_GB2312" w:cs="仿宋"/>
          <w:sz w:val="32"/>
          <w:szCs w:val="32"/>
          <w:shd w:val="clear" w:color="auto" w:fill="FFFFFF"/>
        </w:rPr>
        <w:t>）原债权人未就标的资产的转让行为通知债务人或担保人，使得债权转让行为尚未对债务人或担保人发生法律效力；</w:t>
      </w:r>
    </w:p>
    <w:p w14:paraId="229DC9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）银团贷款或社团贷款仅发生部分转让的情形；</w:t>
      </w:r>
    </w:p>
    <w:p w14:paraId="21F5D24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13</w:t>
      </w:r>
      <w:r>
        <w:rPr>
          <w:rFonts w:hint="eastAsia" w:ascii="仿宋_GB2312" w:hAnsi="仿宋" w:eastAsia="仿宋_GB2312" w:cs="仿宋"/>
          <w:sz w:val="32"/>
          <w:szCs w:val="32"/>
          <w:shd w:val="clear" w:color="auto" w:fill="FFFFFF"/>
        </w:rPr>
        <w:t>）标的资产可能存在与保证人约定禁止债权转让的情形，存在保证人不再出具书面同意转让债权而不再承担保证责任的风险；</w:t>
      </w:r>
    </w:p>
    <w:p w14:paraId="7562CFE7">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）《网上竞价声明》《竞买须知》《竞价公告》《竞价成交确认书》等竞价文件中披露的其他瑕疵、缺陷、风险、责任、义务等。</w:t>
      </w:r>
    </w:p>
    <w:p w14:paraId="22B8A52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）标的资产的其他瑕疵或重大缺陷。</w:t>
      </w:r>
    </w:p>
    <w:p w14:paraId="6A50124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人不得因此要求解除《债权转让协议》，并承诺不会因此要求转让方采取补救措施、支付费用或补偿款项或承担损害赔偿责任。竞买人承诺不会因此要求减少、降低成交价款的金额或拒绝支付成交价款。</w:t>
      </w:r>
    </w:p>
    <w:p w14:paraId="5474339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1.</w:t>
      </w:r>
      <w:r>
        <w:rPr>
          <w:rFonts w:hint="eastAsia" w:ascii="仿宋_GB2312" w:hAnsi="仿宋" w:eastAsia="仿宋_GB2312" w:cs="仿宋"/>
          <w:sz w:val="32"/>
          <w:szCs w:val="32"/>
          <w:shd w:val="clear" w:color="auto" w:fill="FFFFFF"/>
          <w:lang w:bidi="ar"/>
        </w:rPr>
        <w:t>竞买人成功竞得标的资产后，承担标的资产转让过程中所有税、费。</w:t>
      </w:r>
    </w:p>
    <w:p w14:paraId="6A61690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w:t>
      </w:r>
      <w:r>
        <w:rPr>
          <w:rFonts w:ascii="仿宋_GB2312" w:hAnsi="仿宋" w:eastAsia="仿宋_GB2312" w:cs="仿宋"/>
          <w:sz w:val="32"/>
          <w:szCs w:val="32"/>
          <w:shd w:val="clear" w:color="auto" w:fill="FFFFFF"/>
          <w:lang w:bidi="ar"/>
        </w:rPr>
        <w:t>2.</w:t>
      </w:r>
      <w:r>
        <w:rPr>
          <w:rFonts w:hint="eastAsia" w:ascii="仿宋_GB2312" w:hAnsi="仿宋" w:eastAsia="仿宋_GB2312" w:cs="仿宋"/>
          <w:sz w:val="32"/>
          <w:szCs w:val="32"/>
          <w:shd w:val="clear" w:color="auto" w:fill="FFFFFF"/>
          <w:lang w:bidi="ar"/>
        </w:rPr>
        <w:t>竞买人成功竞得标的资产并付清成交价款，转让方经买受人要求，可出具成交价款收据，不就成交价款出具相关发票。</w:t>
      </w:r>
    </w:p>
    <w:p w14:paraId="63168BC1">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（三）竞买人成为买受人后的特别承诺</w:t>
      </w:r>
    </w:p>
    <w:p w14:paraId="0B3D83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买受人同意并保证，如</w:t>
      </w:r>
      <w:bookmarkStart w:id="1" w:name="_GoBack"/>
      <w:bookmarkEnd w:id="1"/>
      <w:r>
        <w:rPr>
          <w:rFonts w:hint="eastAsia" w:ascii="仿宋_GB2312" w:hAnsi="仿宋" w:eastAsia="仿宋_GB2312" w:cs="仿宋"/>
          <w:sz w:val="32"/>
          <w:szCs w:val="32"/>
          <w:shd w:val="clear" w:color="auto" w:fill="FFFFFF"/>
        </w:rPr>
        <w:t>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（一）存在违反国家法律法规或其他有关方提出争议情形时；</w:t>
      </w:r>
    </w:p>
    <w:p w14:paraId="69F105DD">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（二）在标的资产竞价交易过程中出现违反各项交易规则、细则等相关规定，并妨碍正常交易秩序的；</w:t>
      </w:r>
    </w:p>
    <w:p w14:paraId="79575D28">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（三）交易双方及相关主体因纠纷争讼，由仲裁机构（或法院）做出中止和终结决定的。</w:t>
      </w:r>
    </w:p>
    <w:p w14:paraId="3CDDA9C8">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（一）仲裁机构（或法院）做出中止和终结标的资产竞价/转让决定的；</w:t>
      </w:r>
    </w:p>
    <w:p w14:paraId="39C1E67D">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（二）在竞价交易过程中出现违反各项交易规则、细则等相关规定，并妨碍正常交易秩序的；</w:t>
      </w:r>
    </w:p>
    <w:p w14:paraId="2B8C2C65">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（三）存在其他违反法律法规或其他有关方提出争议情形，致使标的资产无法继续竞价活动或转让行为的。</w:t>
      </w:r>
    </w:p>
    <w:p w14:paraId="3D8A6E93">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pPr>
        <w:widowControl/>
        <w:spacing w:line="576" w:lineRule="exact"/>
        <w:ind w:firstLine="640" w:firstLineChars="200"/>
        <w:rPr>
          <w:rFonts w:ascii="仿宋_GB2312" w:hAnsi="仿宋" w:eastAsia="仿宋_GB2312" w:cs="仿宋"/>
          <w:spacing w:val="-4"/>
          <w:sz w:val="32"/>
          <w:szCs w:val="32"/>
        </w:rPr>
      </w:pPr>
      <w:r>
        <w:rPr>
          <w:rFonts w:hint="eastAsia" w:ascii="仿宋_GB2312" w:hAnsi="仿宋" w:eastAsia="仿宋_GB2312" w:cs="仿宋"/>
          <w:sz w:val="32"/>
          <w:szCs w:val="32"/>
          <w:shd w:val="clear" w:color="auto" w:fill="FFFFFF"/>
        </w:rPr>
        <w:t>八、竞买人在竞买开始前请务必再仔细阅读的《竞买须知》、《竞买公告》等有关文件。本《竞买须知》未尽事宜，</w:t>
      </w:r>
      <w:r>
        <w:rPr>
          <w:rFonts w:hint="eastAsia" w:ascii="仿宋_GB2312" w:hAnsi="仿宋" w:eastAsia="仿宋_GB2312" w:cs="仿宋"/>
          <w:spacing w:val="-4"/>
          <w:sz w:val="32"/>
          <w:szCs w:val="32"/>
        </w:rPr>
        <w:t>请向</w:t>
      </w:r>
      <w:r>
        <w:rPr>
          <w:rFonts w:hint="eastAsia" w:ascii="仿宋_GB2312" w:hAnsi="仿宋" w:eastAsia="仿宋_GB2312" w:cs="仿宋"/>
          <w:kern w:val="0"/>
          <w:sz w:val="32"/>
          <w:szCs w:val="32"/>
          <w:shd w:val="clear" w:color="auto" w:fill="FFFFFF"/>
          <w:lang w:bidi="ar"/>
        </w:rPr>
        <w:t>广州资产管理有限公司</w:t>
      </w:r>
      <w:r>
        <w:rPr>
          <w:rFonts w:hint="eastAsia" w:ascii="仿宋_GB2312" w:hAnsi="仿宋" w:eastAsia="仿宋_GB2312" w:cs="仿宋"/>
          <w:spacing w:val="-4"/>
          <w:sz w:val="32"/>
          <w:szCs w:val="32"/>
        </w:rPr>
        <w:t>咨询。</w:t>
      </w:r>
    </w:p>
    <w:p w14:paraId="4DD28042">
      <w:pPr>
        <w:widowControl/>
        <w:spacing w:line="576" w:lineRule="exact"/>
        <w:ind w:firstLine="624" w:firstLineChars="200"/>
        <w:rPr>
          <w:rFonts w:ascii="仿宋_GB2312" w:hAnsi="仿宋" w:eastAsia="仿宋_GB2312" w:cs="仿宋"/>
          <w:spacing w:val="-4"/>
          <w:sz w:val="32"/>
          <w:szCs w:val="32"/>
        </w:rPr>
      </w:pPr>
    </w:p>
    <w:p w14:paraId="11D38DD0">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联系人1：</w:t>
      </w:r>
      <w:r>
        <w:rPr>
          <w:rFonts w:hint="eastAsia" w:ascii="仿宋_GB2312" w:hAnsi="仿宋" w:eastAsia="仿宋_GB2312" w:cs="仿宋"/>
          <w:color w:val="000000"/>
          <w:sz w:val="32"/>
          <w:szCs w:val="32"/>
          <w:lang w:val="en-US" w:eastAsia="zh-CN"/>
        </w:rPr>
        <w:t>杨先生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rPr>
        <w:t>13250595949</w:t>
      </w:r>
    </w:p>
    <w:p w14:paraId="14695AE7">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_GB2312" w:hAnsi="仿宋" w:eastAsia="仿宋_GB2312" w:cs="仿宋"/>
          <w:kern w:val="0"/>
          <w:sz w:val="32"/>
          <w:szCs w:val="32"/>
          <w:shd w:val="clear" w:fill="FFFFFF"/>
        </w:rPr>
      </w:pPr>
      <w:r>
        <w:rPr>
          <w:rFonts w:hint="eastAsia" w:ascii="仿宋_GB2312" w:hAnsi="仿宋" w:eastAsia="仿宋_GB2312" w:cs="仿宋"/>
          <w:color w:val="000000"/>
          <w:sz w:val="32"/>
          <w:szCs w:val="32"/>
        </w:rPr>
        <w:t>联系人2：</w:t>
      </w:r>
      <w:r>
        <w:rPr>
          <w:rFonts w:hint="eastAsia" w:ascii="仿宋_GB2312" w:hAnsi="仿宋" w:eastAsia="仿宋_GB2312" w:cs="仿宋"/>
          <w:color w:val="000000"/>
          <w:sz w:val="32"/>
          <w:szCs w:val="32"/>
          <w:lang w:val="en-US" w:eastAsia="zh-CN"/>
        </w:rPr>
        <w:t>王先生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lang w:val="en-US" w:eastAsia="zh-CN" w:bidi="ar"/>
        </w:rPr>
        <w:t>13126442843</w:t>
      </w:r>
    </w:p>
    <w:p w14:paraId="7AC4524B">
      <w:pPr>
        <w:autoSpaceDN w:val="0"/>
        <w:spacing w:line="660"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F6B196">
      <w:pPr>
        <w:spacing w:line="620" w:lineRule="exact"/>
        <w:jc w:val="right"/>
        <w:rPr>
          <w:rFonts w:ascii="仿宋_GB2312" w:hAnsi="仿宋" w:eastAsia="仿宋_GB2312" w:cs="仿宋"/>
          <w:sz w:val="32"/>
          <w:szCs w:val="32"/>
          <w:shd w:val="clear" w:color="auto" w:fill="FFFFFF"/>
        </w:rPr>
      </w:pPr>
    </w:p>
    <w:p w14:paraId="50F9F1D2">
      <w:pPr>
        <w:spacing w:line="620" w:lineRule="exact"/>
        <w:jc w:val="right"/>
        <w:rPr>
          <w:rFonts w:ascii="仿宋_GB2312" w:hAnsi="仿宋" w:eastAsia="仿宋_GB2312" w:cs="仿宋"/>
          <w:sz w:val="32"/>
          <w:szCs w:val="32"/>
          <w:shd w:val="clear" w:color="auto" w:fill="FFFFFF"/>
        </w:rPr>
      </w:pPr>
    </w:p>
    <w:p w14:paraId="2CF16A35">
      <w:pPr>
        <w:spacing w:line="620" w:lineRule="exact"/>
        <w:jc w:val="right"/>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40B0DA3A">
      <w:pPr>
        <w:jc w:val="right"/>
        <w:rPr>
          <w:rFonts w:ascii="仿宋" w:hAnsi="仿宋" w:eastAsia="仿宋" w:cs="仿宋"/>
          <w:sz w:val="28"/>
          <w:szCs w:val="28"/>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23</w:t>
      </w:r>
      <w:r>
        <w:rPr>
          <w:rFonts w:hint="eastAsia" w:ascii="仿宋_GB2312" w:hAnsi="仿宋" w:eastAsia="仿宋_GB2312" w:cs="仿宋"/>
          <w:sz w:val="32"/>
          <w:szCs w:val="32"/>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BDE72"/>
    <w:multiLevelType w:val="singleLevel"/>
    <w:tmpl w:val="B2ABDE72"/>
    <w:lvl w:ilvl="0" w:tentative="0">
      <w:start w:val="1"/>
      <w:numFmt w:val="chineseCounting"/>
      <w:suff w:val="nothing"/>
      <w:lvlText w:val="%1、"/>
      <w:lvlJc w:val="left"/>
      <w:pPr>
        <w:ind w:left="0" w:firstLine="420"/>
      </w:pPr>
      <w:rPr>
        <w:rFonts w:hint="eastAsia"/>
      </w:rPr>
    </w:lvl>
  </w:abstractNum>
  <w:abstractNum w:abstractNumId="1">
    <w:nsid w:val="1A747B06"/>
    <w:multiLevelType w:val="singleLevel"/>
    <w:tmpl w:val="1A747B0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331DDB"/>
    <w:rsid w:val="00346D28"/>
    <w:rsid w:val="00351414"/>
    <w:rsid w:val="003A067A"/>
    <w:rsid w:val="003C4EA6"/>
    <w:rsid w:val="003C6277"/>
    <w:rsid w:val="004416BC"/>
    <w:rsid w:val="004637BF"/>
    <w:rsid w:val="00471FF0"/>
    <w:rsid w:val="004C3C4A"/>
    <w:rsid w:val="004D037B"/>
    <w:rsid w:val="004E765E"/>
    <w:rsid w:val="00527C79"/>
    <w:rsid w:val="00532FE1"/>
    <w:rsid w:val="00546A99"/>
    <w:rsid w:val="00563487"/>
    <w:rsid w:val="00577922"/>
    <w:rsid w:val="00586FDF"/>
    <w:rsid w:val="005C4B40"/>
    <w:rsid w:val="00633868"/>
    <w:rsid w:val="0063714E"/>
    <w:rsid w:val="0065065F"/>
    <w:rsid w:val="00653CC4"/>
    <w:rsid w:val="006926CD"/>
    <w:rsid w:val="006D0FAA"/>
    <w:rsid w:val="0077395B"/>
    <w:rsid w:val="0078218B"/>
    <w:rsid w:val="00791065"/>
    <w:rsid w:val="00791C41"/>
    <w:rsid w:val="007A4BA9"/>
    <w:rsid w:val="007A60D0"/>
    <w:rsid w:val="007B2645"/>
    <w:rsid w:val="007B272E"/>
    <w:rsid w:val="007D0DDB"/>
    <w:rsid w:val="00867BAD"/>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34FB"/>
    <w:rsid w:val="00A0755E"/>
    <w:rsid w:val="00A175D8"/>
    <w:rsid w:val="00A23B75"/>
    <w:rsid w:val="00A37F2F"/>
    <w:rsid w:val="00A80AE0"/>
    <w:rsid w:val="00A96218"/>
    <w:rsid w:val="00AE1CDE"/>
    <w:rsid w:val="00B01759"/>
    <w:rsid w:val="00B46A61"/>
    <w:rsid w:val="00BA1CF4"/>
    <w:rsid w:val="00BB1C50"/>
    <w:rsid w:val="00BC2152"/>
    <w:rsid w:val="00BD76FF"/>
    <w:rsid w:val="00BE54AC"/>
    <w:rsid w:val="00C018DD"/>
    <w:rsid w:val="00C408CB"/>
    <w:rsid w:val="00C73F09"/>
    <w:rsid w:val="00C962D3"/>
    <w:rsid w:val="00C963E9"/>
    <w:rsid w:val="00CA2871"/>
    <w:rsid w:val="00CB450F"/>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D326E"/>
    <w:rsid w:val="00DD6515"/>
    <w:rsid w:val="00DF013B"/>
    <w:rsid w:val="00E04BE4"/>
    <w:rsid w:val="00E26A1B"/>
    <w:rsid w:val="00E52CF4"/>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64F2F58"/>
    <w:rsid w:val="07722760"/>
    <w:rsid w:val="08464681"/>
    <w:rsid w:val="08861598"/>
    <w:rsid w:val="088A374F"/>
    <w:rsid w:val="09617FC3"/>
    <w:rsid w:val="09CB1140"/>
    <w:rsid w:val="0B4150A5"/>
    <w:rsid w:val="0B6760A0"/>
    <w:rsid w:val="0D495E50"/>
    <w:rsid w:val="0DD76466"/>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943FD"/>
    <w:rsid w:val="334B0CFA"/>
    <w:rsid w:val="3523507B"/>
    <w:rsid w:val="36727633"/>
    <w:rsid w:val="36B80D28"/>
    <w:rsid w:val="383E72EA"/>
    <w:rsid w:val="393A24E2"/>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F7486D"/>
    <w:rsid w:val="4C6E4BBE"/>
    <w:rsid w:val="4C7E3735"/>
    <w:rsid w:val="4CC26F1A"/>
    <w:rsid w:val="4CDB153D"/>
    <w:rsid w:val="4DB015FD"/>
    <w:rsid w:val="4DB34AAC"/>
    <w:rsid w:val="4E2614D4"/>
    <w:rsid w:val="50436393"/>
    <w:rsid w:val="52535A47"/>
    <w:rsid w:val="537B0C85"/>
    <w:rsid w:val="540D3D80"/>
    <w:rsid w:val="54C129F6"/>
    <w:rsid w:val="554338A3"/>
    <w:rsid w:val="56364D99"/>
    <w:rsid w:val="57D02030"/>
    <w:rsid w:val="57E67137"/>
    <w:rsid w:val="595012B9"/>
    <w:rsid w:val="59A6778A"/>
    <w:rsid w:val="5A4C2C0D"/>
    <w:rsid w:val="5BF108E3"/>
    <w:rsid w:val="5CB367D8"/>
    <w:rsid w:val="5CE8405B"/>
    <w:rsid w:val="5CE853C2"/>
    <w:rsid w:val="5DC06C15"/>
    <w:rsid w:val="5EE54A90"/>
    <w:rsid w:val="5FFF6E1A"/>
    <w:rsid w:val="60D847A8"/>
    <w:rsid w:val="62D9415E"/>
    <w:rsid w:val="62EF4FFB"/>
    <w:rsid w:val="6347210A"/>
    <w:rsid w:val="63905C09"/>
    <w:rsid w:val="63E46B9A"/>
    <w:rsid w:val="64687030"/>
    <w:rsid w:val="653467EB"/>
    <w:rsid w:val="68070EB1"/>
    <w:rsid w:val="6A0369AB"/>
    <w:rsid w:val="6A997170"/>
    <w:rsid w:val="6C1D3005"/>
    <w:rsid w:val="6E6F1B6B"/>
    <w:rsid w:val="6EC269D3"/>
    <w:rsid w:val="72547259"/>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5"/>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7"/>
    <w:qFormat/>
    <w:uiPriority w:val="0"/>
    <w:rPr>
      <w:b/>
      <w:bCs/>
    </w:rPr>
  </w:style>
  <w:style w:type="character" w:styleId="10">
    <w:name w:val="Strong"/>
    <w:qFormat/>
    <w:uiPriority w:val="0"/>
    <w:rPr>
      <w:b/>
    </w:rPr>
  </w:style>
  <w:style w:type="character" w:styleId="11">
    <w:name w:val="annotation reference"/>
    <w:basedOn w:val="9"/>
    <w:qFormat/>
    <w:uiPriority w:val="0"/>
    <w:rPr>
      <w:sz w:val="21"/>
      <w:szCs w:val="21"/>
    </w:rPr>
  </w:style>
  <w:style w:type="character" w:customStyle="1" w:styleId="12">
    <w:name w:val="页眉 字符"/>
    <w:link w:val="5"/>
    <w:qFormat/>
    <w:uiPriority w:val="0"/>
    <w:rPr>
      <w:rFonts w:ascii="Calibri" w:hAnsi="Calibri"/>
      <w:kern w:val="2"/>
      <w:sz w:val="18"/>
      <w:szCs w:val="18"/>
    </w:rPr>
  </w:style>
  <w:style w:type="character" w:customStyle="1" w:styleId="13">
    <w:name w:val="页脚 字符"/>
    <w:link w:val="4"/>
    <w:qFormat/>
    <w:uiPriority w:val="0"/>
    <w:rPr>
      <w:rFonts w:ascii="Calibri" w:hAnsi="Calibri"/>
      <w:kern w:val="2"/>
      <w:sz w:val="18"/>
      <w:szCs w:val="18"/>
    </w:rPr>
  </w:style>
  <w:style w:type="paragraph" w:styleId="14">
    <w:name w:val="List Paragraph"/>
    <w:basedOn w:val="1"/>
    <w:qFormat/>
    <w:uiPriority w:val="99"/>
    <w:pPr>
      <w:ind w:firstLine="420" w:firstLineChars="200"/>
    </w:pPr>
  </w:style>
  <w:style w:type="character" w:customStyle="1" w:styleId="15">
    <w:name w:val="批注框文本 字符"/>
    <w:basedOn w:val="9"/>
    <w:link w:val="3"/>
    <w:qFormat/>
    <w:uiPriority w:val="0"/>
    <w:rPr>
      <w:rFonts w:ascii="Calibri" w:hAnsi="Calibri"/>
      <w:kern w:val="2"/>
      <w:sz w:val="18"/>
      <w:szCs w:val="18"/>
    </w:rPr>
  </w:style>
  <w:style w:type="character" w:customStyle="1" w:styleId="16">
    <w:name w:val="批注文字 字符"/>
    <w:basedOn w:val="9"/>
    <w:link w:val="2"/>
    <w:qFormat/>
    <w:uiPriority w:val="0"/>
    <w:rPr>
      <w:rFonts w:ascii="Calibri" w:hAnsi="Calibri"/>
      <w:kern w:val="2"/>
      <w:sz w:val="21"/>
      <w:szCs w:val="24"/>
    </w:rPr>
  </w:style>
  <w:style w:type="character" w:customStyle="1" w:styleId="17">
    <w:name w:val="批注主题 字符"/>
    <w:basedOn w:val="16"/>
    <w:link w:val="7"/>
    <w:qFormat/>
    <w:uiPriority w:val="0"/>
    <w:rPr>
      <w:rFonts w:ascii="Calibri" w:hAnsi="Calibri"/>
      <w:b/>
      <w:bCs/>
      <w:kern w:val="2"/>
      <w:sz w:val="21"/>
      <w:szCs w:val="24"/>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 w:type="paragraph" w:customStyle="1" w:styleId="19">
    <w:name w:val="修订2"/>
    <w:hidden/>
    <w:unhideWhenUsed/>
    <w:qFormat/>
    <w:uiPriority w:val="99"/>
    <w:rPr>
      <w:rFonts w:ascii="Calibri" w:hAnsi="Calibri" w:eastAsia="宋体" w:cs="Times New Roman"/>
      <w:kern w:val="2"/>
      <w:sz w:val="21"/>
      <w:szCs w:val="24"/>
      <w:lang w:val="en-US" w:eastAsia="zh-CN" w:bidi="ar-SA"/>
    </w:rPr>
  </w:style>
  <w:style w:type="paragraph" w:customStyle="1" w:styleId="20">
    <w:name w:val="修订3"/>
    <w:hidden/>
    <w:unhideWhenUsed/>
    <w:qFormat/>
    <w:uiPriority w:val="99"/>
    <w:rPr>
      <w:rFonts w:ascii="Calibri" w:hAnsi="Calibri" w:eastAsia="宋体" w:cs="Times New Roman"/>
      <w:kern w:val="2"/>
      <w:sz w:val="21"/>
      <w:szCs w:val="24"/>
      <w:lang w:val="en-US" w:eastAsia="zh-CN" w:bidi="ar-SA"/>
    </w:rPr>
  </w:style>
  <w:style w:type="paragraph" w:customStyle="1" w:styleId="21">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17</Pages>
  <Words>7780</Words>
  <Characters>7930</Characters>
  <Lines>1</Lines>
  <Paragraphs>1</Paragraphs>
  <TotalTime>16</TotalTime>
  <ScaleCrop>false</ScaleCrop>
  <LinksUpToDate>false</LinksUpToDate>
  <CharactersWithSpaces>7945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2025-10-11T07:59:00Z</dcterms:created>
  <dc:creator>Administrator</dc:creator>
  <cp:lastModifiedBy>王烜</cp:lastModifiedBy>
  <cp:lastPrinted>2024-09-23T01:04:00Z</cp:lastPrinted>
  <dcterms:modified xsi:type="dcterms:W3CDTF">2026-07-23T02:07:46Z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947919BF9C894B8C8C42CBB66D301AEF_13</vt:lpwstr>
  </property>
  <property fmtid="{D5CDD505-2E9C-101B-9397-08002B2CF9AE}" pid="4" name="KSOTemplateDocerSaveRecord">
    <vt:lpwstr>eyJoZGlkIjoiNTJkY2QwZDk0N2NjNDgyZWNiNjQ5YjQzNjg5MWYyNjMiLCJ1c2VySWQiOiIzODUwMDExMDIifQ==</vt:lpwstr>
  </property>
</Properties>
</file>