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AAD1D">
      <w:pPr>
        <w:jc w:val="center"/>
        <w:rPr>
          <w:rFonts w:ascii="方正小标宋简体" w:hAnsi="仿宋" w:eastAsia="方正小标宋简体" w:cs="仿宋"/>
          <w:b/>
          <w:bCs/>
          <w:kern w:val="0"/>
          <w:sz w:val="44"/>
          <w:szCs w:val="44"/>
          <w:shd w:val="clear" w:color="auto" w:fill="FFFFFF"/>
          <w:lang w:bidi="ar"/>
        </w:rPr>
      </w:pPr>
      <w:r>
        <w:rPr>
          <w:rFonts w:hint="eastAsia" w:ascii="方正小标宋简体" w:hAnsi="仿宋" w:eastAsia="方正小标宋简体" w:cs="仿宋"/>
          <w:b/>
          <w:bCs/>
          <w:kern w:val="0"/>
          <w:sz w:val="44"/>
          <w:szCs w:val="44"/>
          <w:shd w:val="clear" w:color="auto" w:fill="FFFFFF"/>
          <w:lang w:bidi="ar"/>
        </w:rPr>
        <w:t>竞买须知</w:t>
      </w:r>
    </w:p>
    <w:p w14:paraId="17325BC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u w:val="single"/>
          <w:shd w:val="clear" w:color="auto" w:fill="FFFFFF"/>
        </w:rPr>
        <w:t>广州资产管理有限公司将于202</w:t>
      </w:r>
      <w:r>
        <w:rPr>
          <w:rFonts w:hint="eastAsia" w:ascii="仿宋_GB2312" w:hAnsi="仿宋" w:eastAsia="仿宋_GB2312" w:cs="仿宋"/>
          <w:sz w:val="32"/>
          <w:szCs w:val="32"/>
          <w:u w:val="single"/>
          <w:shd w:val="clear" w:color="auto" w:fill="FFFFFF"/>
          <w:lang w:val="en-US" w:eastAsia="zh-CN"/>
        </w:rPr>
        <w:t>6</w:t>
      </w:r>
      <w:r>
        <w:rPr>
          <w:rFonts w:hint="eastAsia" w:ascii="仿宋_GB2312" w:hAnsi="仿宋" w:eastAsia="仿宋_GB2312" w:cs="仿宋"/>
          <w:sz w:val="32"/>
          <w:szCs w:val="32"/>
          <w:u w:val="single"/>
          <w:shd w:val="clear" w:color="auto" w:fill="FFFFFF"/>
        </w:rPr>
        <w:t>年</w:t>
      </w:r>
      <w:r>
        <w:rPr>
          <w:rFonts w:hint="eastAsia" w:ascii="仿宋_GB2312" w:hAnsi="仿宋" w:eastAsia="仿宋_GB2312" w:cs="仿宋"/>
          <w:sz w:val="32"/>
          <w:szCs w:val="32"/>
          <w:u w:val="single"/>
          <w:shd w:val="clear" w:color="auto" w:fill="FFFFFF"/>
          <w:lang w:val="en-US" w:eastAsia="zh-CN"/>
        </w:rPr>
        <w:t>7</w:t>
      </w:r>
      <w:r>
        <w:rPr>
          <w:rFonts w:hint="eastAsia" w:ascii="仿宋_GB2312" w:hAnsi="仿宋" w:eastAsia="仿宋_GB2312" w:cs="仿宋"/>
          <w:sz w:val="32"/>
          <w:szCs w:val="32"/>
          <w:u w:val="single"/>
          <w:shd w:val="clear" w:color="auto" w:fill="FFFFFF"/>
        </w:rPr>
        <w:t>月</w:t>
      </w:r>
      <w:r>
        <w:rPr>
          <w:rFonts w:hint="eastAsia" w:ascii="仿宋_GB2312" w:hAnsi="仿宋" w:eastAsia="仿宋_GB2312" w:cs="仿宋"/>
          <w:sz w:val="32"/>
          <w:szCs w:val="32"/>
          <w:u w:val="single"/>
          <w:shd w:val="clear" w:color="auto" w:fill="FFFFFF"/>
          <w:lang w:val="en-US" w:eastAsia="zh-CN"/>
        </w:rPr>
        <w:t>30</w:t>
      </w:r>
      <w:r>
        <w:rPr>
          <w:rFonts w:hint="eastAsia" w:ascii="仿宋_GB2312" w:hAnsi="仿宋" w:eastAsia="仿宋_GB2312" w:cs="仿宋"/>
          <w:sz w:val="32"/>
          <w:szCs w:val="32"/>
          <w:u w:val="single"/>
          <w:shd w:val="clear" w:color="auto" w:fill="FFFFFF"/>
        </w:rPr>
        <w:t>日</w:t>
      </w:r>
      <w:r>
        <w:rPr>
          <w:rFonts w:hint="eastAsia" w:ascii="仿宋_GB2312" w:hAnsi="仿宋" w:eastAsia="仿宋_GB2312" w:cs="仿宋"/>
          <w:sz w:val="32"/>
          <w:szCs w:val="32"/>
          <w:u w:val="single"/>
          <w:shd w:val="clear" w:color="auto" w:fill="FFFFFF"/>
          <w:lang w:val="en-US" w:eastAsia="zh-CN"/>
        </w:rPr>
        <w:t>10</w:t>
      </w:r>
      <w:r>
        <w:rPr>
          <w:rFonts w:hint="eastAsia" w:ascii="仿宋_GB2312" w:hAnsi="仿宋" w:eastAsia="仿宋_GB2312" w:cs="仿宋"/>
          <w:sz w:val="32"/>
          <w:szCs w:val="32"/>
          <w:u w:val="single"/>
          <w:shd w:val="clear" w:color="auto" w:fill="FFFFFF"/>
        </w:rPr>
        <w:t>时起至202</w:t>
      </w:r>
      <w:r>
        <w:rPr>
          <w:rFonts w:hint="eastAsia" w:ascii="仿宋_GB2312" w:hAnsi="仿宋" w:eastAsia="仿宋_GB2312" w:cs="仿宋"/>
          <w:sz w:val="32"/>
          <w:szCs w:val="32"/>
          <w:u w:val="single"/>
          <w:shd w:val="clear" w:color="auto" w:fill="FFFFFF"/>
          <w:lang w:val="en-US" w:eastAsia="zh-CN"/>
        </w:rPr>
        <w:t>6</w:t>
      </w:r>
      <w:r>
        <w:rPr>
          <w:rFonts w:hint="eastAsia" w:ascii="仿宋_GB2312" w:hAnsi="仿宋" w:eastAsia="仿宋_GB2312" w:cs="仿宋"/>
          <w:sz w:val="32"/>
          <w:szCs w:val="32"/>
          <w:u w:val="single"/>
          <w:shd w:val="clear" w:color="auto" w:fill="FFFFFF"/>
        </w:rPr>
        <w:t>年</w:t>
      </w:r>
      <w:r>
        <w:rPr>
          <w:rFonts w:hint="eastAsia" w:ascii="仿宋_GB2312" w:hAnsi="仿宋" w:eastAsia="仿宋_GB2312" w:cs="仿宋"/>
          <w:sz w:val="32"/>
          <w:szCs w:val="32"/>
          <w:u w:val="single"/>
          <w:shd w:val="clear" w:color="auto" w:fill="FFFFFF"/>
          <w:lang w:val="en-US" w:eastAsia="zh-CN"/>
        </w:rPr>
        <w:t>7</w:t>
      </w:r>
      <w:r>
        <w:rPr>
          <w:rFonts w:hint="eastAsia" w:ascii="仿宋_GB2312" w:hAnsi="仿宋" w:eastAsia="仿宋_GB2312" w:cs="仿宋"/>
          <w:sz w:val="32"/>
          <w:szCs w:val="32"/>
          <w:u w:val="single"/>
          <w:shd w:val="clear" w:color="auto" w:fill="FFFFFF"/>
        </w:rPr>
        <w:t>月</w:t>
      </w:r>
      <w:r>
        <w:rPr>
          <w:rFonts w:hint="eastAsia" w:ascii="仿宋_GB2312" w:hAnsi="仿宋" w:eastAsia="仿宋_GB2312" w:cs="仿宋"/>
          <w:sz w:val="32"/>
          <w:szCs w:val="32"/>
          <w:u w:val="single"/>
          <w:shd w:val="clear" w:color="auto" w:fill="FFFFFF"/>
          <w:lang w:val="en-US" w:eastAsia="zh-CN"/>
        </w:rPr>
        <w:t>30</w:t>
      </w:r>
      <w:r>
        <w:rPr>
          <w:rFonts w:hint="eastAsia" w:ascii="仿宋_GB2312" w:hAnsi="仿宋" w:eastAsia="仿宋_GB2312" w:cs="仿宋"/>
          <w:sz w:val="32"/>
          <w:szCs w:val="32"/>
          <w:u w:val="single"/>
          <w:shd w:val="clear" w:color="auto" w:fill="FFFFFF"/>
        </w:rPr>
        <w:t>日</w:t>
      </w:r>
      <w:r>
        <w:rPr>
          <w:rFonts w:hint="eastAsia" w:ascii="仿宋_GB2312" w:hAnsi="仿宋" w:eastAsia="仿宋_GB2312" w:cs="仿宋"/>
          <w:sz w:val="32"/>
          <w:szCs w:val="32"/>
          <w:u w:val="single"/>
          <w:shd w:val="clear" w:color="auto" w:fill="FFFFFF"/>
          <w:lang w:val="en-US" w:eastAsia="zh-CN"/>
        </w:rPr>
        <w:t>12</w:t>
      </w:r>
      <w:r>
        <w:rPr>
          <w:rFonts w:hint="eastAsia" w:ascii="仿宋_GB2312" w:hAnsi="仿宋" w:eastAsia="仿宋_GB2312" w:cs="仿宋"/>
          <w:sz w:val="32"/>
          <w:szCs w:val="32"/>
          <w:u w:val="single"/>
          <w:shd w:val="clear" w:color="auto" w:fill="FFFFFF"/>
        </w:rPr>
        <w:t>时止（</w:t>
      </w:r>
      <w:r>
        <w:rPr>
          <w:rFonts w:hint="eastAsia" w:ascii="仿宋_GB2312" w:hAnsi="仿宋" w:eastAsia="仿宋_GB2312" w:cs="仿宋"/>
          <w:sz w:val="32"/>
          <w:szCs w:val="32"/>
          <w:shd w:val="clear" w:color="auto" w:fill="FFFFFF"/>
          <w:lang w:bidi="ar"/>
        </w:rPr>
        <w:t>如发生自动延时的，截止时间以延长后的结束时间为准</w:t>
      </w:r>
      <w:r>
        <w:rPr>
          <w:rFonts w:hint="eastAsia" w:ascii="仿宋_GB2312" w:hAnsi="仿宋" w:eastAsia="仿宋_GB2312" w:cs="仿宋"/>
          <w:sz w:val="32"/>
          <w:szCs w:val="32"/>
          <w:u w:val="single"/>
          <w:shd w:val="clear" w:color="auto" w:fill="FFFFFF"/>
        </w:rPr>
        <w:t>）</w:t>
      </w:r>
      <w:r>
        <w:rPr>
          <w:rFonts w:hint="eastAsia" w:ascii="仿宋_GB2312" w:hAnsi="仿宋" w:eastAsia="仿宋_GB2312" w:cs="仿宋"/>
          <w:sz w:val="32"/>
          <w:szCs w:val="32"/>
          <w:shd w:val="clear" w:color="auto" w:fill="FFFFFF"/>
          <w:lang w:bidi="ar"/>
        </w:rPr>
        <w:t>在【</w:t>
      </w:r>
      <w:r>
        <w:rPr>
          <w:rFonts w:hint="eastAsia" w:ascii="仿宋_GB2312" w:hAnsi="仿宋" w:eastAsia="仿宋_GB2312" w:cs="仿宋"/>
          <w:sz w:val="32"/>
          <w:szCs w:val="32"/>
          <w:shd w:val="clear" w:color="auto" w:fill="FFFFFF"/>
          <w:lang w:val="en-US" w:eastAsia="zh-CN" w:bidi="ar"/>
        </w:rPr>
        <w:t>阿里资产</w:t>
      </w:r>
      <w:r>
        <w:rPr>
          <w:rFonts w:hint="eastAsia" w:ascii="仿宋_GB2312" w:hAnsi="仿宋" w:eastAsia="仿宋_GB2312" w:cs="仿宋"/>
          <w:sz w:val="32"/>
          <w:szCs w:val="32"/>
          <w:shd w:val="clear" w:color="auto" w:fill="FFFFFF"/>
          <w:lang w:bidi="ar"/>
        </w:rPr>
        <w:t>】网络平台（网址：【</w:t>
      </w:r>
      <w:r>
        <w:rPr>
          <w:rFonts w:hint="eastAsia" w:ascii="仿宋_GB2312" w:hAnsi="仿宋" w:eastAsia="仿宋_GB2312" w:cs="仿宋_GB2312"/>
          <w:kern w:val="0"/>
          <w:sz w:val="32"/>
          <w:szCs w:val="32"/>
          <w:shd w:val="clear" w:fill="FFFFFF"/>
        </w:rPr>
        <w:t>https://zc-paimai.taobao.com/</w:t>
      </w:r>
      <w:r>
        <w:rPr>
          <w:rFonts w:hint="eastAsia" w:ascii="仿宋_GB2312" w:hAnsi="仿宋" w:eastAsia="仿宋_GB2312" w:cs="仿宋"/>
          <w:sz w:val="32"/>
          <w:szCs w:val="32"/>
          <w:shd w:val="clear" w:color="auto" w:fill="FFFFFF"/>
          <w:lang w:bidi="ar"/>
        </w:rPr>
        <w:t>】，以下简称“拍卖平台”）开展对</w:t>
      </w:r>
      <w:r>
        <w:rPr>
          <w:rFonts w:hint="eastAsia" w:ascii="仿宋_GB2312" w:hAnsi="仿宋" w:eastAsia="仿宋_GB2312" w:cs="仿宋"/>
          <w:sz w:val="32"/>
          <w:szCs w:val="32"/>
          <w:u w:val="single"/>
          <w:shd w:val="clear" w:color="auto" w:fill="FFFFFF"/>
          <w:lang w:bidi="ar"/>
        </w:rPr>
        <w:t>【</w:t>
      </w:r>
      <w:r>
        <w:rPr>
          <w:rFonts w:hint="eastAsia" w:ascii="仿宋_GB2312" w:hAnsi="宋体" w:eastAsia="仿宋_GB2312" w:cs="仿宋_GB2312"/>
          <w:color w:val="000000"/>
          <w:kern w:val="0"/>
          <w:sz w:val="31"/>
          <w:szCs w:val="31"/>
          <w:u w:val="single"/>
        </w:rPr>
        <w:t>湛江市展盛贸易有限公司等2户债权</w:t>
      </w:r>
      <w:r>
        <w:rPr>
          <w:rFonts w:hint="eastAsia" w:ascii="仿宋_GB2312" w:hAnsi="仿宋" w:eastAsia="仿宋_GB2312" w:cs="仿宋"/>
          <w:sz w:val="32"/>
          <w:szCs w:val="32"/>
          <w:u w:val="single"/>
          <w:shd w:val="clear" w:color="auto" w:fill="FFFFFF"/>
          <w:lang w:bidi="ar"/>
        </w:rPr>
        <w:t>】不良债权资产（以下简称“标的资产”）</w:t>
      </w:r>
      <w:r>
        <w:rPr>
          <w:rFonts w:hint="eastAsia" w:ascii="仿宋_GB2312" w:hAnsi="仿宋" w:eastAsia="仿宋_GB2312" w:cs="仿宋"/>
          <w:sz w:val="32"/>
          <w:szCs w:val="32"/>
          <w:shd w:val="clear" w:color="auto" w:fill="FFFFFF"/>
          <w:lang w:bidi="ar"/>
        </w:rPr>
        <w:t>的公开竞价活动</w:t>
      </w:r>
      <w:r>
        <w:rPr>
          <w:rFonts w:hint="eastAsia" w:ascii="仿宋_GB2312" w:hAnsi="仿宋" w:eastAsia="仿宋_GB2312" w:cs="仿宋"/>
          <w:sz w:val="32"/>
          <w:szCs w:val="32"/>
          <w:shd w:val="clear" w:color="auto" w:fill="FFFFFF"/>
        </w:rPr>
        <w:t>，现就有关的网上竞价事宜敬告各位竞买人：</w:t>
      </w:r>
    </w:p>
    <w:p w14:paraId="0450FAE8">
      <w:pPr>
        <w:pStyle w:val="6"/>
        <w:widowControl/>
        <w:numPr>
          <w:ilvl w:val="0"/>
          <w:numId w:val="1"/>
        </w:numPr>
        <w:shd w:val="clear" w:color="auto" w:fill="FFFFFF"/>
        <w:spacing w:before="0" w:beforeAutospacing="0" w:after="75" w:afterAutospacing="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竞买人在竞价前须详细阅读此《竞买须知》，了解本须知的全部内容。本次竞价活动遵循“公开、公平、公正、诚实守信”的原则，竞价活动具备法律效力。参加本次竞价活动的当事人和竞买人必须遵守本须知的各项条款，并对自己的行为承担法律责任。</w:t>
      </w:r>
    </w:p>
    <w:p w14:paraId="66FCF784">
      <w:pPr>
        <w:pStyle w:val="6"/>
        <w:widowControl/>
        <w:numPr>
          <w:ilvl w:val="0"/>
          <w:numId w:val="1"/>
        </w:numPr>
        <w:shd w:val="clear" w:color="auto" w:fill="FFFFFF"/>
        <w:spacing w:before="0" w:beforeAutospacing="0" w:after="75" w:afterAutospacing="0"/>
        <w:jc w:val="both"/>
        <w:rPr>
          <w:rFonts w:ascii="黑体" w:hAnsi="黑体" w:eastAsia="黑体" w:cs="仿宋"/>
          <w:b/>
          <w:sz w:val="32"/>
          <w:szCs w:val="32"/>
        </w:rPr>
      </w:pPr>
      <w:r>
        <w:rPr>
          <w:rFonts w:hint="eastAsia" w:ascii="黑体" w:hAnsi="黑体" w:eastAsia="黑体" w:cs="仿宋"/>
          <w:b/>
          <w:bCs/>
          <w:sz w:val="32"/>
          <w:szCs w:val="32"/>
        </w:rPr>
        <w:t>竞价安排</w:t>
      </w:r>
    </w:p>
    <w:p w14:paraId="76B17359">
      <w:pPr>
        <w:pStyle w:val="6"/>
        <w:widowControl/>
        <w:numPr>
          <w:ilvl w:val="255"/>
          <w:numId w:val="0"/>
        </w:numPr>
        <w:shd w:val="clear" w:color="auto" w:fill="FFFFFF"/>
        <w:spacing w:before="0" w:beforeAutospacing="0" w:after="75" w:afterAutospacing="0"/>
        <w:ind w:left="420"/>
        <w:jc w:val="both"/>
        <w:rPr>
          <w:rFonts w:ascii="楷体_GB2312" w:hAnsi="仿宋" w:eastAsia="楷体_GB2312" w:cs="仿宋"/>
          <w:b/>
          <w:bCs/>
          <w:sz w:val="32"/>
          <w:szCs w:val="32"/>
        </w:rPr>
      </w:pPr>
      <w:r>
        <w:rPr>
          <w:rFonts w:hint="eastAsia" w:ascii="楷体_GB2312" w:hAnsi="仿宋" w:eastAsia="楷体_GB2312" w:cs="仿宋"/>
          <w:b/>
          <w:bCs/>
          <w:sz w:val="32"/>
          <w:szCs w:val="32"/>
        </w:rPr>
        <w:t>（一）竞价标的资产</w:t>
      </w:r>
    </w:p>
    <w:p w14:paraId="1E8DD76E">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sz w:val="32"/>
          <w:szCs w:val="32"/>
          <w:u w:val="single"/>
          <w:shd w:val="clear" w:color="auto" w:fill="FFFFFF"/>
          <w:lang w:bidi="ar"/>
        </w:rPr>
        <w:t>【湛江市展盛贸易有限公司等2户债权】不良债权资产（以下简称“标的资产”）</w:t>
      </w:r>
      <w:r>
        <w:rPr>
          <w:rFonts w:hint="eastAsia" w:ascii="仿宋_GB2312" w:hAnsi="仿宋" w:eastAsia="仿宋_GB2312" w:cs="仿宋"/>
          <w:bCs/>
          <w:sz w:val="32"/>
          <w:szCs w:val="32"/>
          <w:shd w:val="clear" w:color="auto" w:fill="FFFFFF"/>
          <w:lang w:bidi="ar"/>
        </w:rPr>
        <w:t>竞买起拍价：【</w:t>
      </w:r>
      <w:r>
        <w:rPr>
          <w:rFonts w:hint="eastAsia" w:ascii="仿宋_GB2312" w:hAnsi="仿宋" w:eastAsia="仿宋_GB2312" w:cs="仿宋"/>
          <w:bCs/>
          <w:sz w:val="32"/>
          <w:szCs w:val="32"/>
          <w:shd w:val="clear" w:color="auto" w:fill="FFFFFF"/>
          <w:lang w:val="en-US" w:eastAsia="zh-CN" w:bidi="ar"/>
        </w:rPr>
        <w:t>43,000,000</w:t>
      </w:r>
      <w:r>
        <w:rPr>
          <w:rFonts w:hint="eastAsia" w:ascii="仿宋_GB2312" w:hAnsi="仿宋" w:eastAsia="仿宋_GB2312" w:cs="仿宋"/>
          <w:bCs/>
          <w:sz w:val="32"/>
          <w:szCs w:val="32"/>
          <w:shd w:val="clear" w:color="auto" w:fill="FFFFFF"/>
          <w:lang w:bidi="ar"/>
        </w:rPr>
        <w:t>】元；</w:t>
      </w:r>
    </w:p>
    <w:p w14:paraId="61AF24FB">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bCs/>
          <w:sz w:val="32"/>
          <w:szCs w:val="32"/>
          <w:shd w:val="clear" w:color="auto" w:fill="FFFFFF"/>
          <w:lang w:bidi="ar"/>
        </w:rPr>
        <w:t>保证金：【</w:t>
      </w:r>
      <w:r>
        <w:rPr>
          <w:rFonts w:hint="eastAsia" w:ascii="仿宋_GB2312" w:hAnsi="仿宋" w:eastAsia="仿宋_GB2312" w:cs="仿宋"/>
          <w:bCs/>
          <w:sz w:val="32"/>
          <w:szCs w:val="32"/>
          <w:shd w:val="clear" w:color="auto" w:fill="FFFFFF"/>
          <w:lang w:val="en-US" w:eastAsia="zh-CN" w:bidi="ar"/>
        </w:rPr>
        <w:t>4,300,000</w:t>
      </w:r>
      <w:r>
        <w:rPr>
          <w:rFonts w:hint="eastAsia" w:ascii="仿宋_GB2312" w:hAnsi="仿宋" w:eastAsia="仿宋_GB2312" w:cs="仿宋"/>
          <w:bCs/>
          <w:sz w:val="32"/>
          <w:szCs w:val="32"/>
          <w:shd w:val="clear" w:color="auto" w:fill="FFFFFF"/>
          <w:lang w:bidi="ar"/>
        </w:rPr>
        <w:t>】元；</w:t>
      </w:r>
    </w:p>
    <w:p w14:paraId="6F67B0D4">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bCs/>
          <w:sz w:val="32"/>
          <w:szCs w:val="32"/>
          <w:shd w:val="clear" w:color="auto" w:fill="FFFFFF"/>
          <w:lang w:bidi="ar"/>
        </w:rPr>
        <w:t>增价幅度：【</w:t>
      </w:r>
      <w:r>
        <w:rPr>
          <w:rFonts w:hint="eastAsia" w:ascii="仿宋_GB2312" w:hAnsi="仿宋" w:eastAsia="仿宋_GB2312" w:cs="仿宋"/>
          <w:bCs/>
          <w:sz w:val="32"/>
          <w:szCs w:val="32"/>
          <w:shd w:val="clear" w:color="auto" w:fill="FFFFFF"/>
          <w:lang w:val="en-US" w:eastAsia="zh-CN" w:bidi="ar"/>
        </w:rPr>
        <w:t>100,000</w:t>
      </w:r>
      <w:r>
        <w:rPr>
          <w:rFonts w:hint="eastAsia" w:ascii="仿宋_GB2312" w:hAnsi="仿宋" w:eastAsia="仿宋_GB2312" w:cs="仿宋"/>
          <w:bCs/>
          <w:sz w:val="32"/>
          <w:szCs w:val="32"/>
          <w:shd w:val="clear" w:color="auto" w:fill="FFFFFF"/>
          <w:lang w:bidi="ar"/>
        </w:rPr>
        <w:t>】元及其整数倍数。</w:t>
      </w:r>
    </w:p>
    <w:p w14:paraId="1B470530">
      <w:pPr>
        <w:pStyle w:val="6"/>
        <w:widowControl/>
        <w:numPr>
          <w:ilvl w:val="255"/>
          <w:numId w:val="0"/>
        </w:numPr>
        <w:shd w:val="clear" w:color="auto" w:fill="FFFFFF"/>
        <w:spacing w:before="0" w:beforeAutospacing="0" w:after="75" w:afterAutospacing="0"/>
        <w:ind w:left="420"/>
        <w:jc w:val="both"/>
        <w:rPr>
          <w:rFonts w:ascii="楷体_GB2312" w:hAnsi="仿宋" w:eastAsia="楷体_GB2312" w:cs="仿宋"/>
          <w:b/>
          <w:sz w:val="32"/>
          <w:szCs w:val="32"/>
          <w:shd w:val="clear" w:color="auto" w:fill="FFFFFF"/>
          <w:lang w:bidi="ar"/>
        </w:rPr>
      </w:pPr>
      <w:r>
        <w:rPr>
          <w:rFonts w:hint="eastAsia" w:ascii="楷体_GB2312" w:hAnsi="仿宋" w:eastAsia="楷体_GB2312" w:cs="仿宋"/>
          <w:b/>
          <w:sz w:val="32"/>
          <w:szCs w:val="32"/>
          <w:shd w:val="clear" w:color="auto" w:fill="FFFFFF"/>
          <w:lang w:bidi="ar"/>
        </w:rPr>
        <w:t>（二）保证金交纳</w:t>
      </w:r>
    </w:p>
    <w:p w14:paraId="28EE6454">
      <w:pPr>
        <w:widowControl/>
        <w:shd w:val="clear" w:color="auto" w:fill="FFFFFF"/>
        <w:spacing w:line="360" w:lineRule="auto"/>
        <w:ind w:firstLine="640" w:firstLineChars="200"/>
        <w:rPr>
          <w:rFonts w:ascii="仿宋_GB2312" w:hAnsi="仿宋" w:eastAsia="仿宋_GB2312" w:cs="仿宋"/>
          <w:kern w:val="0"/>
          <w:sz w:val="32"/>
          <w:szCs w:val="32"/>
          <w:highlight w:val="none"/>
          <w:shd w:val="clear" w:color="auto" w:fill="FFFFFF"/>
          <w:lang w:bidi="ar"/>
        </w:rPr>
      </w:pPr>
      <w:r>
        <w:rPr>
          <w:rFonts w:hint="eastAsia" w:ascii="仿宋_GB2312" w:hAnsi="仿宋" w:eastAsia="仿宋_GB2312" w:cs="仿宋"/>
          <w:kern w:val="0"/>
          <w:sz w:val="32"/>
          <w:szCs w:val="32"/>
          <w:highlight w:val="none"/>
          <w:shd w:val="clear" w:color="auto" w:fill="FFFFFF"/>
          <w:lang w:bidi="ar"/>
        </w:rPr>
        <w:t>保证金需在202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30</w:t>
      </w:r>
      <w:r>
        <w:rPr>
          <w:rFonts w:hint="eastAsia" w:ascii="仿宋_GB2312" w:hAnsi="仿宋" w:eastAsia="仿宋_GB2312" w:cs="仿宋"/>
          <w:kern w:val="0"/>
          <w:sz w:val="32"/>
          <w:szCs w:val="32"/>
          <w:highlight w:val="none"/>
          <w:shd w:val="clear" w:color="auto" w:fill="FFFFFF"/>
          <w:lang w:bidi="ar"/>
        </w:rPr>
        <w:t>日</w:t>
      </w:r>
      <w:r>
        <w:rPr>
          <w:rFonts w:hint="eastAsia" w:ascii="仿宋_GB2312" w:hAnsi="仿宋" w:eastAsia="仿宋_GB2312" w:cs="仿宋"/>
          <w:kern w:val="0"/>
          <w:sz w:val="32"/>
          <w:szCs w:val="32"/>
          <w:highlight w:val="none"/>
          <w:shd w:val="clear" w:color="auto" w:fill="FFFFFF"/>
          <w:lang w:val="en-US" w:eastAsia="zh-CN" w:bidi="ar"/>
        </w:rPr>
        <w:t>10时</w:t>
      </w:r>
      <w:r>
        <w:rPr>
          <w:rFonts w:hint="eastAsia" w:ascii="仿宋_GB2312" w:hAnsi="仿宋" w:eastAsia="仿宋_GB2312" w:cs="仿宋"/>
          <w:kern w:val="0"/>
          <w:sz w:val="32"/>
          <w:szCs w:val="32"/>
          <w:highlight w:val="none"/>
          <w:shd w:val="clear" w:color="auto" w:fill="FFFFFF"/>
          <w:lang w:bidi="ar"/>
        </w:rPr>
        <w:t>（为确保及时到账及查验，建议提前于202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29</w:t>
      </w:r>
      <w:r>
        <w:rPr>
          <w:rFonts w:hint="eastAsia" w:ascii="仿宋_GB2312" w:hAnsi="仿宋" w:eastAsia="仿宋_GB2312" w:cs="仿宋"/>
          <w:kern w:val="0"/>
          <w:sz w:val="32"/>
          <w:szCs w:val="32"/>
          <w:highlight w:val="none"/>
          <w:shd w:val="clear" w:color="auto" w:fill="FFFFFF"/>
          <w:lang w:bidi="ar"/>
        </w:rPr>
        <w:t>日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2E17673D">
      <w:pPr>
        <w:pStyle w:val="6"/>
        <w:widowControl/>
        <w:numPr>
          <w:ilvl w:val="0"/>
          <w:numId w:val="2"/>
        </w:numPr>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竞买人条件</w:t>
      </w:r>
    </w:p>
    <w:p w14:paraId="08E8649A">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1.具备完全民事行为能力的自然人、法人和非法人组织，并应具备一定的资金实力和良好的信誉条件。</w:t>
      </w:r>
    </w:p>
    <w:p w14:paraId="1956495A">
      <w:pPr>
        <w:pStyle w:val="6"/>
        <w:widowControl/>
        <w:spacing w:beforeAutospacing="0" w:afterAutospacing="0" w:line="360" w:lineRule="atLeas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sz w:val="32"/>
          <w:szCs w:val="32"/>
          <w:shd w:val="clear" w:color="auto" w:fill="FFFFFF"/>
          <w:lang w:bidi="ar"/>
        </w:rPr>
        <w:t>2</w:t>
      </w:r>
      <w:r>
        <w:rPr>
          <w:rFonts w:ascii="仿宋_GB2312" w:hAnsi="仿宋" w:eastAsia="仿宋_GB2312" w:cs="仿宋"/>
          <w:sz w:val="32"/>
          <w:szCs w:val="32"/>
          <w:shd w:val="clear" w:color="auto" w:fill="FFFFFF"/>
          <w:lang w:bidi="ar"/>
        </w:rPr>
        <w:t>.</w:t>
      </w:r>
      <w:r>
        <w:rPr>
          <w:rFonts w:hint="eastAsia" w:ascii="仿宋_GB2312" w:hAnsi="仿宋" w:eastAsia="仿宋_GB2312" w:cs="仿宋"/>
          <w:sz w:val="32"/>
          <w:szCs w:val="32"/>
          <w:shd w:val="clear" w:color="auto" w:fill="FFFFFF"/>
          <w:lang w:bidi="ar"/>
        </w:rPr>
        <w:t>以下人员不得购买或变相购买标的资产：</w:t>
      </w:r>
      <w:r>
        <w:rPr>
          <w:rFonts w:hint="eastAsia" w:ascii="仿宋_GB2312" w:hAnsi="仿宋" w:eastAsia="仿宋_GB2312" w:cs="仿宋"/>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_GB2312" w:hAnsi="仿宋" w:eastAsia="仿宋_GB2312" w:cs="仿宋"/>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_GB2312" w:hAnsi="仿宋" w:eastAsia="仿宋_GB2312" w:cs="仿宋"/>
          <w:color w:val="000000"/>
          <w:sz w:val="32"/>
          <w:szCs w:val="32"/>
        </w:rPr>
        <w:t>相关法律、行政法规及规范性文件中规定的不得购买或变相购买不良资产的主体。</w:t>
      </w:r>
      <w:r>
        <w:rPr>
          <w:rFonts w:hint="eastAsia" w:ascii="仿宋_GB2312" w:hAnsi="仿宋" w:eastAsia="仿宋_GB2312" w:cs="仿宋"/>
          <w:sz w:val="32"/>
          <w:szCs w:val="32"/>
          <w:shd w:val="clear" w:color="auto" w:fill="FFFFFF"/>
          <w:lang w:bidi="ar"/>
        </w:rPr>
        <w:t>符合条件的人员应进一步保证不向前述主体或其投资、控制的实体转让债权。</w:t>
      </w:r>
    </w:p>
    <w:p w14:paraId="1BD0474F">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3</w:t>
      </w:r>
      <w:r>
        <w:rPr>
          <w:rFonts w:hint="eastAsia" w:ascii="仿宋_GB2312" w:hAnsi="仿宋" w:eastAsia="仿宋_GB2312" w:cs="仿宋"/>
          <w:kern w:val="0"/>
          <w:sz w:val="32"/>
          <w:szCs w:val="32"/>
          <w:shd w:val="clear" w:color="auto" w:fill="FFFFFF"/>
          <w:lang w:bidi="ar"/>
        </w:rPr>
        <w:t>．竞买人须信誉良好，资金来源合法合规，能承担购买债权所带来的风险。</w:t>
      </w:r>
    </w:p>
    <w:p w14:paraId="6D5DD08F">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4</w:t>
      </w:r>
      <w:r>
        <w:rPr>
          <w:rFonts w:hint="eastAsia" w:ascii="仿宋_GB2312" w:hAnsi="仿宋" w:eastAsia="仿宋_GB2312" w:cs="仿宋"/>
          <w:kern w:val="0"/>
          <w:sz w:val="32"/>
          <w:szCs w:val="32"/>
          <w:shd w:val="clear" w:color="auto" w:fill="FFFFFF"/>
          <w:lang w:bidi="ar"/>
        </w:rPr>
        <w:t>．竞买人确认竞买人及竞买人股东与标的资产内债务人或担保人无关联关系，并不存在任何形式或可能存在的逃废债情形。</w:t>
      </w:r>
    </w:p>
    <w:p w14:paraId="7E1F16E9">
      <w:pPr>
        <w:widowControl/>
        <w:shd w:val="clear" w:color="auto" w:fill="FFFFFF"/>
        <w:spacing w:line="360" w:lineRule="auto"/>
        <w:ind w:firstLine="640" w:firstLineChars="200"/>
        <w:jc w:val="left"/>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5</w:t>
      </w:r>
      <w:r>
        <w:rPr>
          <w:rFonts w:hint="eastAsia" w:ascii="仿宋_GB2312" w:hAnsi="仿宋" w:eastAsia="仿宋_GB2312" w:cs="仿宋"/>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7688844C">
      <w:pPr>
        <w:widowControl/>
        <w:numPr>
          <w:ilvl w:val="255"/>
          <w:numId w:val="0"/>
        </w:numPr>
        <w:shd w:val="clear" w:color="auto" w:fill="FFFFFF"/>
        <w:spacing w:after="75"/>
        <w:ind w:firstLine="640" w:firstLineChars="200"/>
        <w:rPr>
          <w:rFonts w:ascii="仿宋_GB2312" w:hAnsi="仿宋" w:eastAsia="仿宋_GB2312" w:cs="仿宋"/>
          <w:sz w:val="32"/>
          <w:szCs w:val="32"/>
        </w:rPr>
      </w:pPr>
      <w:r>
        <w:rPr>
          <w:rFonts w:ascii="仿宋_GB2312" w:hAnsi="仿宋" w:eastAsia="仿宋_GB2312" w:cs="仿宋"/>
          <w:kern w:val="0"/>
          <w:sz w:val="32"/>
          <w:szCs w:val="32"/>
          <w:shd w:val="clear" w:color="auto" w:fill="FFFFFF"/>
          <w:lang w:bidi="ar"/>
        </w:rPr>
        <w:t>6</w:t>
      </w:r>
      <w:r>
        <w:rPr>
          <w:rFonts w:hint="eastAsia" w:ascii="仿宋_GB2312" w:hAnsi="仿宋" w:eastAsia="仿宋_GB2312" w:cs="仿宋"/>
          <w:kern w:val="0"/>
          <w:sz w:val="32"/>
          <w:szCs w:val="32"/>
          <w:shd w:val="clear" w:color="auto" w:fill="FFFFFF"/>
          <w:lang w:bidi="ar"/>
        </w:rPr>
        <w:t>．买受人应向广州资产管理有限公司提供《资金来源合法性声明函》。</w:t>
      </w:r>
    </w:p>
    <w:p w14:paraId="69D0EB21">
      <w:pPr>
        <w:pStyle w:val="6"/>
        <w:widowControl/>
        <w:shd w:val="clear" w:color="auto" w:fill="FFFFFF"/>
        <w:spacing w:before="0" w:beforeAutospacing="0" w:after="75" w:afterAutospacing="0"/>
        <w:ind w:left="562"/>
        <w:jc w:val="both"/>
        <w:rPr>
          <w:rFonts w:ascii="楷体_GB2312" w:hAnsi="仿宋" w:eastAsia="楷体_GB2312" w:cs="仿宋"/>
          <w:b/>
          <w:bCs/>
          <w:sz w:val="32"/>
          <w:szCs w:val="32"/>
          <w:shd w:val="clear" w:color="auto" w:fill="FFFFFF"/>
        </w:rPr>
      </w:pPr>
      <w:r>
        <w:rPr>
          <w:rFonts w:hint="eastAsia" w:ascii="楷体_GB2312" w:hAnsi="仿宋" w:eastAsia="楷体_GB2312" w:cs="仿宋"/>
          <w:b/>
          <w:bCs/>
          <w:sz w:val="32"/>
          <w:szCs w:val="32"/>
          <w:shd w:val="clear" w:color="auto" w:fill="FFFFFF"/>
        </w:rPr>
        <w:t>（四）如竞买人未开立拍卖平台账户</w:t>
      </w:r>
    </w:p>
    <w:p w14:paraId="4FD463D8">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如竞买人未开通拍卖平台账户，可委托代理人（须具备完全民事行为能力的自然人）进行，但须在竞价程序开始前向广州资产管理有限公司办理委托关系确认手续；竞买成功后，买受人（</w:t>
      </w:r>
      <w:r>
        <w:rPr>
          <w:rFonts w:hint="eastAsia" w:ascii="仿宋_GB2312" w:hAnsi="仿宋" w:eastAsia="仿宋_GB2312" w:cs="仿宋"/>
          <w:color w:val="000000"/>
          <w:sz w:val="32"/>
          <w:szCs w:val="32"/>
        </w:rPr>
        <w:t>自然人、法人</w:t>
      </w:r>
      <w:r>
        <w:rPr>
          <w:rFonts w:hint="eastAsia" w:ascii="仿宋_GB2312" w:hAnsi="仿宋" w:eastAsia="仿宋_GB2312" w:cs="仿宋"/>
          <w:sz w:val="32"/>
          <w:szCs w:val="32"/>
          <w:shd w:val="clear" w:color="auto" w:fill="FFFFFF"/>
        </w:rPr>
        <w:t>、非法人组织的负责人）须与代理人一同到广州资产管理有限公司办理交接手续。如委托手续不全或委托关系未经广州资产管理有限公司确认的，竞买活动认定为代理人的个人行为，由代理人承担竞买活动的一切法律后果。</w:t>
      </w:r>
    </w:p>
    <w:p w14:paraId="637D3380">
      <w:pPr>
        <w:widowControl/>
        <w:spacing w:line="576" w:lineRule="exact"/>
        <w:ind w:firstLine="643" w:firstLineChars="200"/>
        <w:rPr>
          <w:rFonts w:ascii="楷体_GB2312" w:hAnsi="仿宋" w:eastAsia="楷体_GB2312" w:cs="仿宋"/>
          <w:b/>
          <w:bCs/>
          <w:kern w:val="0"/>
          <w:sz w:val="32"/>
          <w:szCs w:val="32"/>
          <w:shd w:val="clear" w:color="auto" w:fill="FFFFFF"/>
          <w:lang w:bidi="ar"/>
        </w:rPr>
      </w:pPr>
      <w:r>
        <w:rPr>
          <w:rFonts w:hint="eastAsia" w:ascii="楷体_GB2312" w:hAnsi="仿宋" w:eastAsia="楷体_GB2312" w:cs="仿宋"/>
          <w:b/>
          <w:bCs/>
          <w:sz w:val="32"/>
          <w:szCs w:val="32"/>
          <w:shd w:val="clear" w:color="auto" w:fill="FFFFFF"/>
        </w:rPr>
        <w:t>（五）</w:t>
      </w:r>
      <w:r>
        <w:rPr>
          <w:rFonts w:hint="eastAsia" w:ascii="楷体_GB2312" w:hAnsi="仿宋" w:eastAsia="楷体_GB2312" w:cs="仿宋"/>
          <w:b/>
          <w:bCs/>
          <w:kern w:val="0"/>
          <w:sz w:val="32"/>
          <w:szCs w:val="32"/>
          <w:shd w:val="clear" w:color="auto" w:fill="FFFFFF"/>
          <w:lang w:bidi="ar"/>
        </w:rPr>
        <w:t>优先购买权的行使</w:t>
      </w:r>
    </w:p>
    <w:p w14:paraId="33528250">
      <w:pPr>
        <w:widowControl/>
        <w:spacing w:line="576" w:lineRule="exact"/>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依据法律法规对标的资产享有优先购买权的主体，应当按照本须知亲自报名、缴纳保证金，并在竞价前【2】个工作日向</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提交合法有效的证明以及明确表示行使优先购买权的书面文件（附报名及缴纳保证金的证明），经</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 xml:space="preserve">确认后才能以优先购买权人的身份参与竞买。逾期不提交的，视为放弃对标的资产的优先购买权。标的资产优先购买权人未参加竞拍，亦视为放弃优先购买权。 </w:t>
      </w:r>
    </w:p>
    <w:p w14:paraId="68429EC3">
      <w:pPr>
        <w:widowControl/>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优先购买权人参与竞买的，可以与其他竞买人以相同的价格出价，没有更高出价的，标的资产由优先购买权人竞得。顺序不同的优先购买权人以相同价格出价的，标的资产由顺序在先的优先购买权人竞得。顺序相同的优先购买权人以相同价格出价的，标的资产由出价在先的优先购买权人竞得。</w:t>
      </w:r>
    </w:p>
    <w:p w14:paraId="2AA75314">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（六）延时功能</w:t>
      </w:r>
    </w:p>
    <w:p w14:paraId="524FBBC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本次竞价活动设置延时出价功能，在竞价活动结束前，每最后5分钟如果有竞买人出价，就自动延迟5分钟。</w:t>
      </w:r>
    </w:p>
    <w:p w14:paraId="25DC4AF5">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（七）补登公告情形</w:t>
      </w:r>
    </w:p>
    <w:p w14:paraId="3E748E2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若只有一人报名且出价达到保留价的或有多人报名但仅有一人出价并达到保留价的（下称“第一次竞价”），将补登3个工作日的公告。补登公告后，如确定没有新的竞价者参加竞价才能确定第一次竞价结果为有效成交；如有新的竞价者且在补登公告的公告期内支付保证金，则进行第二次竞价，第二次竞价以第一次的最终竞价金额+第一次竞买最小加价额作为第二次竞价的起始价，最终价高者得，新竞得者为买受人；如果第二次竞价无人出价，则第一次的竞价竞得者为买受人。</w:t>
      </w:r>
    </w:p>
    <w:p w14:paraId="64359B05">
      <w:pPr>
        <w:pStyle w:val="6"/>
        <w:widowControl/>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lang w:bidi="ar"/>
        </w:rPr>
      </w:pPr>
      <w:r>
        <w:rPr>
          <w:rFonts w:hint="eastAsia" w:ascii="黑体" w:hAnsi="黑体" w:eastAsia="黑体" w:cs="仿宋"/>
          <w:b/>
          <w:bCs/>
          <w:sz w:val="32"/>
          <w:szCs w:val="32"/>
          <w:shd w:val="clear" w:color="auto" w:fill="FFFFFF"/>
          <w:lang w:bidi="ar"/>
        </w:rPr>
        <w:t>三、签约及付款期限</w:t>
      </w:r>
    </w:p>
    <w:p w14:paraId="3A2958F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lang w:bidi="ar"/>
        </w:rPr>
        <w:t>（一）竞价结束后，标的资产竞得者须承担平台交易费用等相关因交易而产生的费用，此项费用不含在竞拍报价中，由买受人另行支付。标的资产竞得者缴纳的竞价保证金自动转为履约保证金，其他竞买人的竞价保证金按有关规定另行退还。</w:t>
      </w:r>
    </w:p>
    <w:p w14:paraId="787026D6">
      <w:pPr>
        <w:widowControl/>
        <w:shd w:val="clear" w:color="auto" w:fill="FFFFFF"/>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sz w:val="32"/>
          <w:szCs w:val="32"/>
          <w:shd w:val="clear" w:color="auto" w:fill="FFFFFF"/>
          <w:lang w:bidi="ar"/>
        </w:rPr>
        <w:t>（二）</w:t>
      </w:r>
      <w:r>
        <w:rPr>
          <w:rFonts w:hint="eastAsia" w:ascii="仿宋_GB2312" w:hAnsi="仿宋" w:eastAsia="仿宋_GB2312" w:cs="仿宋"/>
          <w:kern w:val="0"/>
          <w:sz w:val="32"/>
          <w:szCs w:val="32"/>
          <w:shd w:val="clear" w:color="auto" w:fill="FFFFFF"/>
          <w:lang w:bidi="ar"/>
        </w:rPr>
        <w:t>标的资产竞得者需于标的资产竞价成交之日起【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凭付款凭证及相关身份材料等原件）到广州资产管理有限公司（地址：广州市天河区珠江新城珠江东路28号越秀金融大厦58楼）正式签署广州资产管理有限公司提供的《债权转让协议》，逾期则视为买受人违约，竞价保证金不予退还。</w:t>
      </w:r>
    </w:p>
    <w:p w14:paraId="75529CB5">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（三）</w:t>
      </w:r>
      <w:r>
        <w:rPr>
          <w:rFonts w:hint="eastAsia" w:ascii="仿宋_GB2312" w:hAnsi="仿宋" w:eastAsia="仿宋_GB2312" w:cs="仿宋"/>
          <w:sz w:val="32"/>
          <w:szCs w:val="32"/>
          <w:shd w:val="clear" w:color="auto" w:fill="FFFFFF"/>
          <w:lang w:val="en-US" w:eastAsia="zh-CN" w:bidi="ar"/>
        </w:rPr>
        <w:t>付款方式为一次性付款</w:t>
      </w:r>
      <w:r>
        <w:rPr>
          <w:rFonts w:hint="eastAsia" w:ascii="仿宋_GB2312" w:hAnsi="仿宋" w:eastAsia="仿宋_GB2312" w:cs="仿宋"/>
          <w:sz w:val="32"/>
          <w:szCs w:val="32"/>
          <w:shd w:val="clear" w:color="auto" w:fill="FFFFFF"/>
          <w:lang w:bidi="ar"/>
        </w:rPr>
        <w:t>。具体如下：</w:t>
      </w:r>
    </w:p>
    <w:p w14:paraId="6AB8E32F">
      <w:pPr>
        <w:widowControl/>
        <w:shd w:val="clear" w:color="auto" w:fill="FFFFFF"/>
        <w:spacing w:line="360" w:lineRule="auto"/>
        <w:ind w:firstLine="640" w:firstLineChars="200"/>
        <w:rPr>
          <w:rFonts w:ascii="仿宋_GB2312" w:hAnsi="仿宋" w:eastAsia="仿宋_GB2312" w:cs="仿宋"/>
          <w:sz w:val="32"/>
          <w:szCs w:val="32"/>
          <w:shd w:val="clear" w:color="auto" w:fill="FFFFFF"/>
          <w:lang w:bidi="ar"/>
        </w:rPr>
      </w:pPr>
      <w:r>
        <w:rPr>
          <w:rFonts w:hint="eastAsia" w:ascii="仿宋_GB2312" w:hAnsi="仿宋" w:eastAsia="仿宋_GB2312" w:cs="仿宋"/>
          <w:kern w:val="0"/>
          <w:sz w:val="32"/>
          <w:szCs w:val="32"/>
          <w:shd w:val="clear" w:color="auto" w:fill="FFFFFF"/>
          <w:lang w:val="en-US" w:eastAsia="zh-CN" w:bidi="ar"/>
        </w:rPr>
        <w:t>买受人须于签署协议之日起【5】个工作日内支付全款。</w:t>
      </w:r>
    </w:p>
    <w:p w14:paraId="10C8FE97">
      <w:pPr>
        <w:pStyle w:val="6"/>
        <w:widowControl/>
        <w:numPr>
          <w:ilvl w:val="255"/>
          <w:numId w:val="0"/>
        </w:numPr>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lang w:bidi="ar"/>
        </w:rPr>
      </w:pPr>
      <w:r>
        <w:rPr>
          <w:rFonts w:hint="eastAsia" w:ascii="黑体" w:hAnsi="黑体" w:eastAsia="黑体" w:cs="仿宋"/>
          <w:b/>
          <w:bCs/>
          <w:sz w:val="32"/>
          <w:szCs w:val="32"/>
          <w:shd w:val="clear" w:color="auto" w:fill="FFFFFF"/>
          <w:lang w:bidi="ar"/>
        </w:rPr>
        <w:t>四、保证金规则及违约责任</w:t>
      </w:r>
    </w:p>
    <w:p w14:paraId="2C52629F">
      <w:pPr>
        <w:widowControl/>
        <w:shd w:val="clear" w:color="auto" w:fill="FFFFFF"/>
        <w:spacing w:line="360" w:lineRule="auto"/>
        <w:ind w:firstLine="643" w:firstLineChars="200"/>
        <w:rPr>
          <w:rFonts w:ascii="楷体_GB2312" w:hAnsi="仿宋" w:eastAsia="楷体_GB2312" w:cs="仿宋"/>
          <w:b/>
          <w:kern w:val="0"/>
          <w:sz w:val="32"/>
          <w:szCs w:val="32"/>
          <w:shd w:val="clear" w:color="auto" w:fill="FFFFFF"/>
          <w:lang w:bidi="ar"/>
        </w:rPr>
      </w:pPr>
      <w:r>
        <w:rPr>
          <w:rFonts w:hint="eastAsia" w:ascii="楷体_GB2312" w:hAnsi="仿宋" w:eastAsia="楷体_GB2312" w:cs="仿宋"/>
          <w:b/>
          <w:kern w:val="0"/>
          <w:sz w:val="32"/>
          <w:szCs w:val="32"/>
          <w:shd w:val="clear" w:color="auto" w:fill="FFFFFF"/>
          <w:lang w:bidi="ar"/>
        </w:rPr>
        <w:t>（一）保证金规则</w:t>
      </w:r>
    </w:p>
    <w:p w14:paraId="59B90CBC">
      <w:pPr>
        <w:widowControl/>
        <w:shd w:val="clear" w:color="auto" w:fill="FFFFFF"/>
        <w:spacing w:line="360" w:lineRule="auto"/>
        <w:ind w:firstLine="640" w:firstLineChars="200"/>
        <w:rPr>
          <w:rFonts w:ascii="仿宋_GB2312" w:hAnsi="仿宋" w:eastAsia="仿宋_GB2312" w:cs="仿宋"/>
          <w:bCs/>
          <w:kern w:val="0"/>
          <w:sz w:val="32"/>
          <w:szCs w:val="32"/>
          <w:shd w:val="clear" w:color="auto" w:fill="FFFFFF"/>
          <w:lang w:bidi="ar"/>
        </w:rPr>
      </w:pPr>
      <w:r>
        <w:rPr>
          <w:rFonts w:hint="eastAsia" w:ascii="仿宋_GB2312" w:hAnsi="仿宋" w:eastAsia="仿宋_GB2312" w:cs="仿宋"/>
          <w:bCs/>
          <w:kern w:val="0"/>
          <w:sz w:val="32"/>
          <w:szCs w:val="32"/>
          <w:shd w:val="clear" w:color="auto" w:fill="FFFFFF"/>
          <w:lang w:bidi="ar"/>
        </w:rPr>
        <w:t>1.正式竞价活动开始前，竞买人需按照《竞价公告》及《竞价须知》的要求向广州资产管理有限公司</w:t>
      </w:r>
      <w:r>
        <w:rPr>
          <w:rFonts w:hint="eastAsia" w:ascii="仿宋_GB2312" w:hAnsi="仿宋" w:eastAsia="仿宋_GB2312" w:cs="仿宋"/>
          <w:sz w:val="32"/>
          <w:szCs w:val="32"/>
          <w:shd w:val="clear" w:color="auto" w:fill="FFFFFF"/>
          <w:lang w:bidi="ar"/>
        </w:rPr>
        <w:t>【或拍卖平台】</w:t>
      </w:r>
      <w:r>
        <w:rPr>
          <w:rFonts w:hint="eastAsia" w:ascii="仿宋_GB2312" w:hAnsi="仿宋" w:eastAsia="仿宋_GB2312" w:cs="仿宋"/>
          <w:bCs/>
          <w:kern w:val="0"/>
          <w:sz w:val="32"/>
          <w:szCs w:val="32"/>
          <w:shd w:val="clear" w:color="auto" w:fill="FFFFFF"/>
          <w:lang w:bidi="ar"/>
        </w:rPr>
        <w:t>指定账户缴纳保证金，竞价成交的，标的资产竞得者缴纳的保证金将转化为履约保证金或部分成交价款；竞价未成交或未竞得标的资产的，竞买人缴纳的保证金将在十个工作日内按原路径退还</w:t>
      </w:r>
      <w:r>
        <w:rPr>
          <w:rFonts w:hint="eastAsia" w:ascii="仿宋_GB2312" w:hAnsi="仿宋" w:eastAsia="仿宋_GB2312" w:cs="仿宋"/>
          <w:sz w:val="32"/>
          <w:szCs w:val="32"/>
          <w:shd w:val="clear" w:color="auto" w:fill="FFFFFF"/>
        </w:rPr>
        <w:t>（通过拍卖平台缴纳保证金的，具体退回规则以拍卖平台相关规定为准）</w:t>
      </w:r>
      <w:r>
        <w:rPr>
          <w:rFonts w:hint="eastAsia" w:ascii="仿宋_GB2312" w:hAnsi="仿宋" w:eastAsia="仿宋_GB2312" w:cs="仿宋"/>
          <w:bCs/>
          <w:kern w:val="0"/>
          <w:sz w:val="32"/>
          <w:szCs w:val="32"/>
          <w:shd w:val="clear" w:color="auto" w:fill="FFFFFF"/>
          <w:lang w:bidi="ar"/>
        </w:rPr>
        <w:t>，期间不计利息。</w:t>
      </w:r>
    </w:p>
    <w:p w14:paraId="33EB978D">
      <w:pPr>
        <w:widowControl/>
        <w:shd w:val="clear" w:color="auto" w:fill="FFFFFF"/>
        <w:spacing w:line="360" w:lineRule="auto"/>
        <w:ind w:firstLine="640" w:firstLineChars="200"/>
        <w:rPr>
          <w:rFonts w:ascii="仿宋_GB2312" w:hAnsi="仿宋" w:eastAsia="仿宋_GB2312" w:cs="仿宋"/>
          <w:b/>
          <w:kern w:val="0"/>
          <w:sz w:val="32"/>
          <w:szCs w:val="32"/>
          <w:shd w:val="clear" w:color="auto" w:fill="FFFFFF"/>
          <w:lang w:bidi="ar"/>
        </w:rPr>
      </w:pPr>
      <w:r>
        <w:rPr>
          <w:rFonts w:hint="eastAsia" w:ascii="仿宋_GB2312" w:hAnsi="仿宋" w:eastAsia="仿宋_GB2312" w:cs="仿宋"/>
          <w:bCs/>
          <w:kern w:val="0"/>
          <w:sz w:val="32"/>
          <w:szCs w:val="32"/>
          <w:shd w:val="clear" w:color="auto" w:fill="FFFFFF"/>
          <w:lang w:bidi="ar"/>
        </w:rPr>
        <w:t>竞价涉及的平台服务费等相关费用由买受人承担，此项费用不含在竞拍报价中，由买受人另行支付。</w:t>
      </w:r>
    </w:p>
    <w:p w14:paraId="427119F1">
      <w:pPr>
        <w:widowControl/>
        <w:shd w:val="clear" w:color="auto" w:fill="FFFFFF"/>
        <w:spacing w:line="360" w:lineRule="auto"/>
        <w:ind w:firstLine="643"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b/>
          <w:kern w:val="0"/>
          <w:sz w:val="32"/>
          <w:szCs w:val="32"/>
          <w:shd w:val="clear" w:color="auto" w:fill="FFFFFF"/>
          <w:lang w:bidi="ar"/>
        </w:rPr>
        <w:t>2.</w:t>
      </w:r>
      <w:r>
        <w:rPr>
          <w:rFonts w:hint="eastAsia" w:ascii="仿宋_GB2312" w:hAnsi="仿宋" w:eastAsia="仿宋_GB2312" w:cs="仿宋"/>
          <w:bCs/>
          <w:kern w:val="0"/>
          <w:sz w:val="32"/>
          <w:szCs w:val="32"/>
          <w:shd w:val="clear" w:color="auto" w:fill="FFFFFF"/>
          <w:lang w:bidi="ar"/>
        </w:rPr>
        <w:t>下列情况，竞买人缴纳的保证金不予退还，</w:t>
      </w:r>
      <w:r>
        <w:rPr>
          <w:rFonts w:hint="eastAsia" w:ascii="仿宋_GB2312" w:hAnsi="仿宋" w:eastAsia="仿宋_GB2312" w:cs="仿宋"/>
          <w:kern w:val="0"/>
          <w:sz w:val="32"/>
          <w:szCs w:val="32"/>
          <w:shd w:val="clear" w:color="auto" w:fill="FFFFFF"/>
          <w:lang w:bidi="ar"/>
        </w:rPr>
        <w:t>归广州资产管理有限公司所有，且广州资产管理有限公司可对标的资产重新处置：</w:t>
      </w:r>
    </w:p>
    <w:p w14:paraId="5DEC999E">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（1）竞买人不符合《竞买公告》、《竞买须知》中“竞买人条件”；</w:t>
      </w:r>
    </w:p>
    <w:p w14:paraId="7CEC839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（2）竞买人在竞价过程中违反竞价规则，扰乱竞价秩序；</w:t>
      </w:r>
    </w:p>
    <w:p w14:paraId="38E5A4FB">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（3）竞买人成功竞得标的资产后拒绝或未在规定期限内签订《债权转让协议》或未按《债权转让协议》约定按时足额支付成交款项及其他费用；</w:t>
      </w:r>
    </w:p>
    <w:p w14:paraId="24E6FC5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（4）竞买人存在逃废债情形；</w:t>
      </w:r>
    </w:p>
    <w:p w14:paraId="13DEBFF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5）竞买人存在以下恶意炒作及市场操纵情形的：①组织或参与串标、围标活动；②捏造、散布不利广州资产管理有限公司资产处置的信息；③哄抬价格谋取暴利；④以公济私谋取暴利；⑤其他通过非正当手段扰乱市场的行为；</w:t>
      </w:r>
    </w:p>
    <w:p w14:paraId="1FBBBF43">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（6）其他违法违规情形。</w:t>
      </w:r>
    </w:p>
    <w:p w14:paraId="3C48A016">
      <w:pPr>
        <w:widowControl/>
        <w:shd w:val="clear" w:color="auto" w:fill="FFFFFF"/>
        <w:spacing w:line="360" w:lineRule="auto"/>
        <w:ind w:firstLine="643" w:firstLineChars="200"/>
        <w:rPr>
          <w:rFonts w:ascii="楷体_GB2312" w:hAnsi="仿宋" w:eastAsia="楷体_GB2312" w:cs="仿宋"/>
          <w:b/>
          <w:bCs/>
          <w:kern w:val="0"/>
          <w:sz w:val="32"/>
          <w:szCs w:val="32"/>
          <w:shd w:val="clear" w:color="auto" w:fill="FFFFFF"/>
          <w:lang w:bidi="ar"/>
        </w:rPr>
      </w:pPr>
      <w:r>
        <w:rPr>
          <w:rFonts w:hint="eastAsia" w:ascii="楷体_GB2312" w:hAnsi="仿宋" w:eastAsia="楷体_GB2312" w:cs="仿宋"/>
          <w:b/>
          <w:bCs/>
          <w:kern w:val="0"/>
          <w:sz w:val="32"/>
          <w:szCs w:val="32"/>
          <w:shd w:val="clear" w:color="auto" w:fill="FFFFFF"/>
          <w:lang w:bidi="ar"/>
        </w:rPr>
        <w:t>（二）违约责任</w:t>
      </w:r>
    </w:p>
    <w:p w14:paraId="5E875674">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买受人应在竞买成功之日起【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】个工作日内与广州资产管理有限公司签订《债权转让协议》并按照《债权转让协议》约定的付款期限和方式如期付清价款。逾期签约或付款的，买受人应当承担违约责任。</w:t>
      </w:r>
    </w:p>
    <w:p w14:paraId="1BA5A834">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如买受人签订《债权转让协议》后违反付款义务，未能按时足额支付相应款项，自逾期之日起，转让方有权采取以下救济措施：</w:t>
      </w:r>
    </w:p>
    <w:p w14:paraId="53469BC9">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1）要求买受人继续履行《债权转让协议》，并就应付未付成交价款按每日【万分之五】的标准向转让方支付违约金至应付未付成交价款付清之日止。但转让方仍保留随时解除《债权转让协议》的权利，该解除权不因买受人已付款项占成交价款的比例多少而受到影响。</w:t>
      </w:r>
    </w:p>
    <w:p w14:paraId="248BAC86">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（2）解除《债权转让协议》，该解除权不因买受人已付款项占成交价款的比例多少而受到影响，转让方有权选择单独或同时行使以下一项或多项权利：</w:t>
      </w:r>
    </w:p>
    <w:p w14:paraId="54EE2A3A">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①没收买受人已缴纳的竞拍保证金、履约保证金；</w:t>
      </w:r>
    </w:p>
    <w:p w14:paraId="07D4D3A8">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②要求买受人支付解约违约金，违约金数额为成交价款的【</w:t>
      </w:r>
      <w:r>
        <w:rPr>
          <w:rFonts w:hint="eastAsia" w:ascii="仿宋_GB2312" w:hAnsi="仿宋" w:eastAsia="仿宋_GB2312" w:cs="仿宋"/>
          <w:sz w:val="32"/>
          <w:szCs w:val="32"/>
          <w:shd w:val="clear" w:color="auto" w:fill="FFFFFF"/>
          <w:lang w:val="en-US" w:eastAsia="zh-CN" w:bidi="ar"/>
        </w:rPr>
        <w:t>30</w:t>
      </w:r>
      <w:r>
        <w:rPr>
          <w:rFonts w:hint="eastAsia" w:ascii="仿宋_GB2312" w:hAnsi="仿宋" w:eastAsia="仿宋_GB2312" w:cs="仿宋"/>
          <w:sz w:val="32"/>
          <w:szCs w:val="32"/>
          <w:shd w:val="clear" w:color="auto" w:fill="FFFFFF"/>
          <w:lang w:bidi="ar"/>
        </w:rPr>
        <w:t>】%；</w:t>
      </w:r>
    </w:p>
    <w:p w14:paraId="21429689">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③要求买受人赔偿由此给转让方造成的损失（包括但不限于转让方将《债权转让协议》项下的标的债权再行拍卖或者以其他方式另行处置时拍卖价款/成交价格低于原成交价格的差额损失、另行处置时产生的拍卖费用、买受人未按时支付资金占用费及剩余成交价款导致的利息损失、转让方索赔所产生的费用等）。</w:t>
      </w:r>
    </w:p>
    <w:p w14:paraId="5D79526F">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《债权转让协议》解除后，转让方有权另行处置《债权转让协议》项下标的债权，标的债权后续处置与收益均与买受人无关。买受人不得就解除行为及/或标的债权向转让方主张任何权利。</w:t>
      </w:r>
    </w:p>
    <w:p w14:paraId="1980E5A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竞价成交后，买受人以任何理由违约的，已交纳的保证金不予退还，</w:t>
      </w:r>
      <w:r>
        <w:rPr>
          <w:rFonts w:hint="eastAsia" w:ascii="仿宋_GB2312" w:hAnsi="仿宋" w:eastAsia="仿宋_GB2312" w:cs="仿宋"/>
          <w:sz w:val="32"/>
          <w:szCs w:val="32"/>
          <w:shd w:val="clear" w:color="auto" w:fill="FFFFFF"/>
          <w:lang w:bidi="ar"/>
        </w:rPr>
        <w:t>广州资产管理有限公司</w:t>
      </w:r>
      <w:r>
        <w:rPr>
          <w:rFonts w:hint="eastAsia" w:ascii="仿宋_GB2312" w:hAnsi="仿宋" w:eastAsia="仿宋_GB2312" w:cs="仿宋"/>
          <w:sz w:val="32"/>
          <w:szCs w:val="32"/>
          <w:shd w:val="clear" w:color="auto" w:fill="FFFFFF"/>
        </w:rPr>
        <w:t>将依法对标的资产再行处置。标的资产再行公开竞价出售的，原买受人应当支付第</w:t>
      </w:r>
      <w:bookmarkStart w:id="1" w:name="_GoBack"/>
      <w:bookmarkEnd w:id="1"/>
      <w:r>
        <w:rPr>
          <w:rFonts w:hint="eastAsia" w:ascii="仿宋_GB2312" w:hAnsi="仿宋" w:eastAsia="仿宋_GB2312" w:cs="仿宋"/>
          <w:sz w:val="32"/>
          <w:szCs w:val="32"/>
          <w:shd w:val="clear" w:color="auto" w:fill="FFFFFF"/>
        </w:rPr>
        <w:t>一次竞拍中其本人及委托人应当支付的技术/交易服务费。再行处置成交价款低于原成交价款的，原买受人应当赔偿差额损失。违约后重新处置的，原买受人不得参加竞买。</w:t>
      </w:r>
    </w:p>
    <w:p w14:paraId="4E82FE30">
      <w:pPr>
        <w:pStyle w:val="6"/>
        <w:widowControl/>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rPr>
      </w:pPr>
      <w:r>
        <w:rPr>
          <w:rFonts w:hint="eastAsia" w:ascii="黑体" w:hAnsi="黑体" w:eastAsia="黑体" w:cs="仿宋"/>
          <w:b/>
          <w:bCs/>
          <w:sz w:val="32"/>
          <w:szCs w:val="32"/>
          <w:shd w:val="clear" w:color="auto" w:fill="FFFFFF"/>
        </w:rPr>
        <w:t>五、重要提示</w:t>
      </w:r>
    </w:p>
    <w:p w14:paraId="6753E1A5">
      <w:pPr>
        <w:pStyle w:val="6"/>
        <w:widowControl/>
        <w:shd w:val="clear" w:color="auto" w:fill="FFFFFF"/>
        <w:spacing w:before="0" w:beforeAutospacing="0" w:after="75" w:afterAutospacing="0"/>
        <w:ind w:firstLine="640" w:firstLineChars="200"/>
        <w:jc w:val="both"/>
        <w:rPr>
          <w:rFonts w:ascii="仿宋_GB2312" w:hAnsi="仿宋" w:eastAsia="仿宋_GB2312" w:cs="仿宋"/>
          <w:b/>
          <w:bCs/>
          <w:sz w:val="32"/>
          <w:szCs w:val="32"/>
          <w:shd w:val="clear" w:color="auto" w:fill="FFFFFF"/>
        </w:rPr>
      </w:pPr>
      <w:r>
        <w:rPr>
          <w:rFonts w:hint="eastAsia" w:ascii="仿宋_GB2312" w:hAnsi="仿宋" w:eastAsia="仿宋_GB2312" w:cs="仿宋"/>
          <w:sz w:val="32"/>
          <w:szCs w:val="32"/>
          <w:shd w:val="clear" w:color="auto" w:fill="FFFFFF"/>
        </w:rPr>
        <w:t>（一）</w:t>
      </w:r>
      <w:r>
        <w:rPr>
          <w:rFonts w:hint="eastAsia" w:ascii="仿宋_GB2312" w:hAnsi="仿宋" w:eastAsia="仿宋_GB2312" w:cs="仿宋"/>
          <w:sz w:val="32"/>
          <w:szCs w:val="32"/>
          <w:shd w:val="clear" w:color="auto" w:fill="FFFFFF"/>
          <w:lang w:bidi="ar"/>
        </w:rPr>
        <w:t>标的资产按现状转让，</w:t>
      </w:r>
      <w:r>
        <w:rPr>
          <w:rFonts w:hint="eastAsia" w:ascii="仿宋_GB2312" w:hAnsi="仿宋" w:eastAsia="仿宋_GB2312" w:cs="仿宋"/>
          <w:sz w:val="32"/>
          <w:szCs w:val="32"/>
          <w:shd w:val="clear" w:color="auto" w:fill="FFFFFF"/>
        </w:rPr>
        <w:t>广州资产管理有限公司已就本次处置标的资产已知及可能存在的瑕疵作了客观、详尽的说明，其对本次处置标的资产所作的说明、图片、文字等内容，仅供竞买人参考，不构成对标的资产的任何担保。鉴此，请竞买人在竞价前务必仔细审查标的资产，调查是否存在瑕疵，认真研究查看所竞买标的资产的实际情况。</w:t>
      </w:r>
      <w:r>
        <w:rPr>
          <w:rFonts w:hint="eastAsia" w:ascii="仿宋_GB2312" w:hAnsi="仿宋" w:eastAsia="仿宋_GB2312" w:cs="仿宋"/>
          <w:b/>
          <w:bCs/>
          <w:sz w:val="32"/>
          <w:szCs w:val="32"/>
          <w:shd w:val="clear" w:color="auto" w:fill="FFFFFF"/>
        </w:rPr>
        <w:t>竞买人一旦作出竞买决定并缴纳竞价保证金，即表明已完全了解本竞价须知、竞价公告及相关竞价文件所载明的全部竞价规则、要求、提示等，并接受标的资产的现状和一切已知及未知的瑕疵、风险。</w:t>
      </w:r>
    </w:p>
    <w:p w14:paraId="52538EC7">
      <w:pPr>
        <w:pStyle w:val="6"/>
        <w:widowControl/>
        <w:shd w:val="clear" w:color="auto" w:fill="FFFFFF"/>
        <w:spacing w:before="0" w:beforeAutospacing="0" w:after="75" w:afterAutospacing="0"/>
        <w:ind w:firstLine="643" w:firstLineChars="200"/>
        <w:jc w:val="both"/>
        <w:rPr>
          <w:rFonts w:ascii="仿宋_GB2312" w:hAnsi="仿宋" w:eastAsia="仿宋_GB2312" w:cs="仿宋"/>
          <w:sz w:val="32"/>
          <w:szCs w:val="32"/>
          <w:shd w:val="clear" w:color="auto" w:fill="FFFFFF"/>
        </w:rPr>
      </w:pPr>
      <w:r>
        <w:rPr>
          <w:rFonts w:hint="eastAsia" w:ascii="楷体_GB2312" w:hAnsi="仿宋" w:eastAsia="楷体_GB2312" w:cs="仿宋"/>
          <w:b/>
          <w:bCs/>
          <w:sz w:val="32"/>
          <w:szCs w:val="32"/>
          <w:shd w:val="clear" w:color="auto" w:fill="FFFFFF"/>
        </w:rPr>
        <w:t>（二）竞买人报名并缴纳相应竞买保证金，视为做出如下保证和承诺</w:t>
      </w:r>
    </w:p>
    <w:p w14:paraId="33740B8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竞买人资格：竞买人符合本须知二（三）所述竞买人条件要求。因不符合条件参加竞买的，由竞买人自行承担相应的法律责任。</w:t>
      </w:r>
    </w:p>
    <w:p w14:paraId="61A5970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交易文件知悉：竞买人已仔细阅读并理解了广州资产管理有限公司发布的竞买公告、竞买须知、《债权转让协议》等文件，并完全接受上述文件所规定的交易条件，没有任何异议。</w:t>
      </w:r>
    </w:p>
    <w:p w14:paraId="53815CB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3</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风险和瑕疵知悉：广州资产管理有限公司已对竞价标的资产的来源、瑕疵和风险进行了充分的揭示和披露。竞买人已对标的资产进行了独立完整的尽职调查，完全知悉并接受标的资产的所有瑕疵、风险。广州资产管理有限公司不对标的资产的价值、收益、清收回款等向竞买人作出任何承诺和保证，竞买人自行承担该等标的资产的风险。</w:t>
      </w:r>
    </w:p>
    <w:p w14:paraId="6C5195B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4</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竞买人已被告知并完全理解，竞买人受让标的资产后，可能无法享有转让方所享有的国家法律政策规定的各项优惠条件和特殊保护，包括但不限于税收和诉讼方面的优惠和特殊保护。</w:t>
      </w:r>
    </w:p>
    <w:p w14:paraId="5006D6A1">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5</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竞买人已被告知并完全理解，竞买人受让标的资产后，对该标的资产在基准日以后产生的利息、罚息、复利的请求权，竞买人可能无法继续享有。</w:t>
      </w:r>
    </w:p>
    <w:p w14:paraId="2285BFC4">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其受让的标的资产可能存在因法律或政策的不明朗，在竞买人受让债权后以其名义向法院或仲裁机构提起诉讼或仲裁、申请强制执行、申请变更诉讼或执行主体时，该等法院或仲裁机构不予受理、不予审理、不予变更、不予执行等致使竞买人权利难以行使或落空的风险。</w:t>
      </w:r>
    </w:p>
    <w:p w14:paraId="0B7CA8E6">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7</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若依据中国现行法律法规及司法解释等规范性文件，对标的资产享有优先购买权的单位对标的资产行使其优先购买权，从而导致转让方不能依据《债权转让协议》约定将该等标的资产转让给竞买人或转让方转让行为无效，或使竞买人存在获得该标的资产相关权利的障碍。竞买人对此表示完全理解并接受该等风险，同时放弃追究在此种情形下转让方的任何责任。</w:t>
      </w:r>
    </w:p>
    <w:p w14:paraId="3AF0453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8</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其受让的标的资产，可能存在着瑕疵或尚未发现的缺陷，以至于竞买人预期利益无法实现。竞买人同意转让方对其所转让的标的资产不承担合法性、有效性等法律瑕疵的担保责任。竞买人受让的标的资产可能存在的瑕疵或缺陷包括但不限于下列一项或多项：</w:t>
      </w:r>
    </w:p>
    <w:p w14:paraId="5777BADC">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bookmarkStart w:id="0" w:name="OLE_LINK1"/>
      <w:r>
        <w:rPr>
          <w:rFonts w:hint="eastAsia" w:ascii="仿宋_GB2312" w:hAnsi="仿宋" w:eastAsia="仿宋_GB2312" w:cs="仿宋"/>
          <w:sz w:val="32"/>
          <w:szCs w:val="32"/>
          <w:shd w:val="clear" w:color="auto" w:fill="FFFFFF"/>
        </w:rPr>
        <w:t>（1）</w:t>
      </w:r>
      <w:bookmarkEnd w:id="0"/>
      <w:r>
        <w:rPr>
          <w:rFonts w:hint="eastAsia" w:ascii="仿宋_GB2312" w:hAnsi="仿宋" w:eastAsia="仿宋_GB2312" w:cs="仿宋"/>
          <w:sz w:val="32"/>
          <w:szCs w:val="32"/>
          <w:shd w:val="clear" w:color="auto" w:fill="FFFFFF"/>
        </w:rPr>
        <w:t>与标的资产相关的债务人和/或担保人和/或第三方可能存在破产、被解散、被注销、被撤销、被关闭、被吊销、歇业、下落不明以及其他主体存续性瑕疵的情形；</w:t>
      </w:r>
    </w:p>
    <w:p w14:paraId="5F4F669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标的资产可能存在已超过诉讼时效、或丧失相关的法定期间、或因其他原因已部分消灭、丧失胜诉权或不能被确认、因债务人或担保人的有效抗辩而不能实现或不能得到法院的支持、不能被法院强制执行的情形；</w:t>
      </w:r>
    </w:p>
    <w:p w14:paraId="48F4EFA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3</w:t>
      </w:r>
      <w:r>
        <w:rPr>
          <w:rFonts w:hint="eastAsia" w:ascii="仿宋_GB2312" w:hAnsi="仿宋" w:eastAsia="仿宋_GB2312" w:cs="仿宋"/>
          <w:sz w:val="32"/>
          <w:szCs w:val="32"/>
          <w:shd w:val="clear" w:color="auto" w:fill="FFFFFF"/>
        </w:rPr>
        <w:t>）标的资产可能存在未生效、无效或被撤销的情形；</w:t>
      </w:r>
    </w:p>
    <w:p w14:paraId="3B66B7E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4</w:t>
      </w:r>
      <w:r>
        <w:rPr>
          <w:rFonts w:hint="eastAsia" w:ascii="仿宋_GB2312" w:hAnsi="仿宋" w:eastAsia="仿宋_GB2312" w:cs="仿宋"/>
          <w:sz w:val="32"/>
          <w:szCs w:val="32"/>
          <w:shd w:val="clear" w:color="auto" w:fill="FFFFFF"/>
        </w:rPr>
        <w:t>）标的资产文件可能存在不完整、原件缺失或内容冲突等相关情形；</w:t>
      </w:r>
    </w:p>
    <w:p w14:paraId="0947251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5</w:t>
      </w:r>
      <w:r>
        <w:rPr>
          <w:rFonts w:hint="eastAsia" w:ascii="仿宋_GB2312" w:hAnsi="仿宋" w:eastAsia="仿宋_GB2312" w:cs="仿宋"/>
          <w:sz w:val="32"/>
          <w:szCs w:val="32"/>
          <w:shd w:val="clear" w:color="auto" w:fill="FFFFFF"/>
        </w:rPr>
        <w:t>）担保合同可能存在约定主债权未经担保人同意不可转让或担保人只对特定债权人承担担保责任的情形；</w:t>
      </w:r>
    </w:p>
    <w:p w14:paraId="7EBDA98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6</w:t>
      </w:r>
      <w:r>
        <w:rPr>
          <w:rFonts w:hint="eastAsia" w:ascii="仿宋_GB2312" w:hAnsi="仿宋" w:eastAsia="仿宋_GB2312" w:cs="仿宋"/>
          <w:sz w:val="32"/>
          <w:szCs w:val="32"/>
          <w:shd w:val="clear" w:color="auto" w:fill="FFFFFF"/>
        </w:rPr>
        <w:t>）担保物、抵债资产等可能发生灭失、毁损且没有代位物或其他物上代位权可行使，或存在欠缴税费、无相关权属证明、无法办理权属变更手续、未办理登记手续、重复抵押，或不能实际占有、已为第三人善意取得，丧失使用价值或其他减损担保物、抵债资产价值的相关情形；</w:t>
      </w:r>
    </w:p>
    <w:p w14:paraId="6A9DC9C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7</w:t>
      </w:r>
      <w:r>
        <w:rPr>
          <w:rFonts w:hint="eastAsia" w:ascii="仿宋_GB2312" w:hAnsi="仿宋" w:eastAsia="仿宋_GB2312" w:cs="仿宋"/>
          <w:sz w:val="32"/>
          <w:szCs w:val="32"/>
          <w:shd w:val="clear" w:color="auto" w:fill="FFFFFF"/>
        </w:rPr>
        <w:t>）已经进入诉讼程序的标的资产，可能存在因转让方未在法定期限内申请继续查封而导致转让方对债务人的资产失去实际控制权；</w:t>
      </w:r>
    </w:p>
    <w:p w14:paraId="7B2CE65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8</w:t>
      </w:r>
      <w:r>
        <w:rPr>
          <w:rFonts w:hint="eastAsia" w:ascii="仿宋_GB2312" w:hAnsi="仿宋" w:eastAsia="仿宋_GB2312" w:cs="仿宋"/>
          <w:sz w:val="32"/>
          <w:szCs w:val="32"/>
          <w:shd w:val="clear" w:color="auto" w:fill="FFFFFF"/>
        </w:rPr>
        <w:t>）涉诉标的资产可能存在败诉、不能变更诉讼主体、执行主体等诉讼风险；</w:t>
      </w:r>
    </w:p>
    <w:p w14:paraId="213A51F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9</w:t>
      </w:r>
      <w:r>
        <w:rPr>
          <w:rFonts w:hint="eastAsia" w:ascii="仿宋_GB2312" w:hAnsi="仿宋" w:eastAsia="仿宋_GB2312" w:cs="仿宋"/>
          <w:sz w:val="32"/>
          <w:szCs w:val="32"/>
          <w:shd w:val="clear" w:color="auto" w:fill="FFFFFF"/>
        </w:rPr>
        <w:t>）标的资产可能存在欠缴各种诉讼费用的情形；</w:t>
      </w:r>
    </w:p>
    <w:p w14:paraId="1BDDD6E4">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0</w:t>
      </w:r>
      <w:r>
        <w:rPr>
          <w:rFonts w:hint="eastAsia" w:ascii="仿宋_GB2312" w:hAnsi="仿宋" w:eastAsia="仿宋_GB2312" w:cs="仿宋"/>
          <w:sz w:val="32"/>
          <w:szCs w:val="32"/>
          <w:shd w:val="clear" w:color="auto" w:fill="FFFFFF"/>
        </w:rPr>
        <w:t>）标的资产可能已被全部或部分减免、被抵销、被清偿；</w:t>
      </w:r>
    </w:p>
    <w:p w14:paraId="17E0B1D0">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11</w:t>
      </w:r>
      <w:r>
        <w:rPr>
          <w:rFonts w:hint="eastAsia" w:ascii="仿宋_GB2312" w:hAnsi="仿宋" w:eastAsia="仿宋_GB2312" w:cs="仿宋"/>
          <w:sz w:val="32"/>
          <w:szCs w:val="32"/>
          <w:shd w:val="clear" w:color="auto" w:fill="FFFFFF"/>
        </w:rPr>
        <w:t>）原债权人未就标的资产的转让行为通知债务人或担保人，使得债权转让行为尚未对债务人或担保人发生法律效力；</w:t>
      </w:r>
    </w:p>
    <w:p w14:paraId="229DC90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）银团贷款或社团贷款仅发生部分转让的情形；</w:t>
      </w:r>
    </w:p>
    <w:p w14:paraId="21F5D24C">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13</w:t>
      </w:r>
      <w:r>
        <w:rPr>
          <w:rFonts w:hint="eastAsia" w:ascii="仿宋_GB2312" w:hAnsi="仿宋" w:eastAsia="仿宋_GB2312" w:cs="仿宋"/>
          <w:sz w:val="32"/>
          <w:szCs w:val="32"/>
          <w:shd w:val="clear" w:color="auto" w:fill="FFFFFF"/>
        </w:rPr>
        <w:t>）标的资产可能存在与保证人约定禁止债权转让的情形，存在保证人不再出具书面同意转让债权而不再承担保证责任的风险；</w:t>
      </w:r>
    </w:p>
    <w:p w14:paraId="7562CFE7">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4</w:t>
      </w:r>
      <w:r>
        <w:rPr>
          <w:rFonts w:hint="eastAsia" w:ascii="仿宋_GB2312" w:hAnsi="仿宋" w:eastAsia="仿宋_GB2312" w:cs="仿宋"/>
          <w:sz w:val="32"/>
          <w:szCs w:val="32"/>
          <w:shd w:val="clear" w:color="auto" w:fill="FFFFFF"/>
        </w:rPr>
        <w:t>）标的资产及其附属的最高额抵押、动产浮动抵押，可能因最高额抵押的决算期未届满或动产浮动抵押财产范围未确定而发生一次或数次转让，从而导致抵押权甚至主债权落空的风险；</w:t>
      </w:r>
    </w:p>
    <w:p w14:paraId="0E2946C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5</w:t>
      </w:r>
      <w:r>
        <w:rPr>
          <w:rFonts w:hint="eastAsia" w:ascii="仿宋_GB2312" w:hAnsi="仿宋" w:eastAsia="仿宋_GB2312" w:cs="仿宋"/>
          <w:sz w:val="32"/>
          <w:szCs w:val="32"/>
          <w:shd w:val="clear" w:color="auto" w:fill="FFFFFF"/>
        </w:rPr>
        <w:t>）《网上竞价声明》《竞买须知》《竞价公告》《竞价成交确认书》等竞价文件中披露的其他瑕疵、缺陷、风险、责任、义务等。</w:t>
      </w:r>
    </w:p>
    <w:p w14:paraId="22B8A52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6</w:t>
      </w:r>
      <w:r>
        <w:rPr>
          <w:rFonts w:hint="eastAsia" w:ascii="仿宋_GB2312" w:hAnsi="仿宋" w:eastAsia="仿宋_GB2312" w:cs="仿宋"/>
          <w:sz w:val="32"/>
          <w:szCs w:val="32"/>
          <w:shd w:val="clear" w:color="auto" w:fill="FFFFFF"/>
        </w:rPr>
        <w:t>）标的资产的其他瑕疵或重大缺陷。</w:t>
      </w:r>
    </w:p>
    <w:p w14:paraId="6A50124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9</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转让方在竞价文件中所列标的资产金额仅为转让方根据材料统计而所作的一般性描述，可能存在误差，或因其他原因，从而导致竞买人实际接收的标的资产金额与竞价文件中所列标的资产金额不完全一致。转让方对此等金额误差无须承担任何责任；若该等标的资产的有效性、金额与转让方判断或裁判机构最终认定的有效性、金额存在差别、误差，并不属于转让方违约。</w:t>
      </w:r>
    </w:p>
    <w:p w14:paraId="117977B2">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0.</w:t>
      </w:r>
      <w:r>
        <w:rPr>
          <w:rFonts w:hint="eastAsia" w:ascii="仿宋_GB2312" w:hAnsi="仿宋" w:eastAsia="仿宋_GB2312" w:cs="仿宋"/>
          <w:sz w:val="32"/>
          <w:szCs w:val="32"/>
          <w:shd w:val="clear" w:color="auto" w:fill="FFFFFF"/>
        </w:rPr>
        <w:t>竞买人已被告知、仔细阅读并完全理解标的资产介绍揭示的风险，自愿承担由上述风险造成的一切损失以及不能获得相应预期利益的后果。转让方不承担任何责任，竞买人不得因此要求解除《债权转让协议》，并承诺不会因此要求转让方采取补救措施、支付费用或补偿款项或承担损害赔偿责任。竞买人承诺不会因此要求减少、降低成交价款的金额或拒绝支付成交价款。</w:t>
      </w:r>
    </w:p>
    <w:p w14:paraId="5474339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1.</w:t>
      </w:r>
      <w:r>
        <w:rPr>
          <w:rFonts w:hint="eastAsia" w:ascii="仿宋_GB2312" w:hAnsi="仿宋" w:eastAsia="仿宋_GB2312" w:cs="仿宋"/>
          <w:sz w:val="32"/>
          <w:szCs w:val="32"/>
          <w:shd w:val="clear" w:color="auto" w:fill="FFFFFF"/>
          <w:lang w:bidi="ar"/>
        </w:rPr>
        <w:t>竞买人成功竞得标的资产后，承担标的资产转让过程中所有税、费。</w:t>
      </w:r>
    </w:p>
    <w:p w14:paraId="6A61690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1</w:t>
      </w:r>
      <w:r>
        <w:rPr>
          <w:rFonts w:ascii="仿宋_GB2312" w:hAnsi="仿宋" w:eastAsia="仿宋_GB2312" w:cs="仿宋"/>
          <w:sz w:val="32"/>
          <w:szCs w:val="32"/>
          <w:shd w:val="clear" w:color="auto" w:fill="FFFFFF"/>
          <w:lang w:bidi="ar"/>
        </w:rPr>
        <w:t>2.</w:t>
      </w:r>
      <w:r>
        <w:rPr>
          <w:rFonts w:hint="eastAsia" w:ascii="仿宋_GB2312" w:hAnsi="仿宋" w:eastAsia="仿宋_GB2312" w:cs="仿宋"/>
          <w:sz w:val="32"/>
          <w:szCs w:val="32"/>
          <w:shd w:val="clear" w:color="auto" w:fill="FFFFFF"/>
          <w:lang w:bidi="ar"/>
        </w:rPr>
        <w:t>竞买人成功竞得标的资产并付清成交价款，转让方经买受人要求，可出具成交价款收据，不就成交价款出具相关发票。</w:t>
      </w:r>
    </w:p>
    <w:p w14:paraId="63168BC1">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rPr>
      </w:pPr>
      <w:r>
        <w:rPr>
          <w:rFonts w:hint="eastAsia" w:ascii="楷体_GB2312" w:hAnsi="仿宋" w:eastAsia="楷体_GB2312" w:cs="仿宋"/>
          <w:b/>
          <w:bCs/>
          <w:sz w:val="32"/>
          <w:szCs w:val="32"/>
          <w:shd w:val="clear" w:color="auto" w:fill="FFFFFF"/>
        </w:rPr>
        <w:t>（三）竞买人成为买受人后的特别承诺</w:t>
      </w:r>
    </w:p>
    <w:p w14:paraId="0B3D830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如果因标的资产存在能够追究转让方及转让方的前手权利人任何法律责任的权利，则买受人自权利转移日起无条件自动全部放弃该等权利，并不以任何方式向转让方及其前手权利人追究任何法律责任；且买受人在向任何第三人转让全部或部分标的资产时，保证通过对该第三人有法律约束力的方式要求该第三人作出与买受人在本款中的承诺相同的承诺；如任何第三人因与标的资产有关的事项向转让方或其前手权利人追究法律责任的，买受人应出面解决，并对转让方、转让方的前手权利人因第三人的追究而遭受的所有损失给予足额补偿。</w:t>
      </w:r>
    </w:p>
    <w:p w14:paraId="06D51E8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买受人同意并保证，如果标的资产中存在能够追究中国各级政府及其有关部门任何法律责任的权利，买受人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买受人保证不通过本次债权转让交易从事洗钱等违法犯罪活动以及从事其他严重违反法律、法规及其他规范性文件的活动。</w:t>
      </w:r>
    </w:p>
    <w:p w14:paraId="05BAD07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3</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bidi="ar"/>
        </w:rPr>
        <w:t>标的资产存在国家政府相关监管部门、司法部门或前手转让合同规定或认定不得转让以及限制转让债权，买受人须在收到转让方出具的函件后5个工作日按转让方的要求进行无偿退还债权全部档案和权利，并及时协助转让方办理无偿退还相关手续，买受人承诺不得因此追究转让方及前手任何经济和法律责任，且不影响其他标的资产继续履行的效力。买受人承诺，若向第三方转让标的资产，将通过对第三方有法律约束力的方式，要求该第三方做出与本款约定相同的承诺。</w:t>
      </w:r>
    </w:p>
    <w:p w14:paraId="61B0D74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4</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买受人确认知悉竞价文件所揭示的标的资产可能存在的风险，买受人接受标的资产按照基准日现状予以转让的事实，基于转让标的资产不良资产的特性，转让方对标的资产清收的困难性和可回收性未作出任何承诺或保证，买受人对该等事实予以确认，买受人自愿承担受让该等标的资产后可能承受的一切风险以及由该等风险所造成的一切损失或无法实现的预期利益。买受人不可撤销地承诺其将放弃以重大误解、显失公平或其他任何理由主张变更、撤销、解除本次竞价交易或减损本次竞价交易效力的其他任何权利。</w:t>
      </w:r>
    </w:p>
    <w:p w14:paraId="6A2B733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5</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买受人保证并承诺，其支付的任何款项，包括但不限于保证金及转让价款，资金来源合法、合规，为买受人依法可支配的财产，不涉及洗钱、毒品犯罪、黑社会犯罪、贪污贿赂等违法犯罪行为。</w:t>
      </w:r>
    </w:p>
    <w:p w14:paraId="21EA18E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bidi="ar"/>
        </w:rPr>
        <w:t>买受人在其因受让而取得和享有标的资产期间内，严格按照中国法律法规允许的方式向债务人、担保人和其他义务人主张和行使权利，不得采取非法措施和可能影响社会稳定的不当措施。若出现违法行使权利等情形，买受人需自行承担由此产生的法律责任。</w:t>
      </w:r>
    </w:p>
    <w:p w14:paraId="6028A08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六、标的资产竞价过程中出现下列情形的，广州资产管理有限公司可以要求拍卖平台立即中止或者终结标的资产转让活动，同时广州资产管理有限公司有权直接做出标的资产竞价活动中止和终结的决定：</w:t>
      </w:r>
    </w:p>
    <w:p w14:paraId="21547BF6">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（一）存在违反国家法律法规或其他有关方提出争议情形时；</w:t>
      </w:r>
    </w:p>
    <w:p w14:paraId="69F105DD">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（二）在标的资产竞价交易过程中出现违反各项交易规则、细则等相关规定，并妨碍正常交易秩序的；</w:t>
      </w:r>
    </w:p>
    <w:p w14:paraId="79575D28">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（三）交易双方及相关主体因纠纷争讼，由仲裁机构（或法院）做出中止和终结决定的。</w:t>
      </w:r>
    </w:p>
    <w:p w14:paraId="3CDDA9C8">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七、标的资产竞价过程中出现下列情形的，广州资产管理有限公司可要求拍卖平台立即中止或者终结标的资产的竞价活动，并有权直接做出标的资产竞价活动中止或终结的决定：</w:t>
      </w:r>
    </w:p>
    <w:p w14:paraId="0CBF2E81">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（一）仲裁机构（或法院）做出中止和终结标的资产竞价/转让决定的；</w:t>
      </w:r>
    </w:p>
    <w:p w14:paraId="39C1E67D">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（二）在竞价交易过程中出现违反各项交易规则、细则等相关规定，并妨碍正常交易秩序的；</w:t>
      </w:r>
    </w:p>
    <w:p w14:paraId="2B8C2C65">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（三）存在其他违反法律法规或其他有关方提出争议情形，致使标的资产无法继续竞价活动或转让行为的。</w:t>
      </w:r>
    </w:p>
    <w:p w14:paraId="3D8A6E93">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标的资产竞价活动中止或终结的，如竞买人不存在本须知第四“保证金规则及违约责任”的第（一）条第2款规定情况的，竞买人缴纳的保证金将在十个工作日内按原路径退还（通过拍卖平台缴纳保证金的，具体退回规则以拍卖平台相关规定为准），期间不计利息。</w:t>
      </w:r>
    </w:p>
    <w:p w14:paraId="54A7614D">
      <w:pPr>
        <w:widowControl/>
        <w:spacing w:line="576" w:lineRule="exact"/>
        <w:ind w:firstLine="640" w:firstLineChars="200"/>
        <w:rPr>
          <w:rFonts w:ascii="仿宋_GB2312" w:hAnsi="仿宋" w:eastAsia="仿宋_GB2312" w:cs="仿宋"/>
          <w:spacing w:val="-4"/>
          <w:sz w:val="32"/>
          <w:szCs w:val="32"/>
        </w:rPr>
      </w:pPr>
      <w:r>
        <w:rPr>
          <w:rFonts w:hint="eastAsia" w:ascii="仿宋_GB2312" w:hAnsi="仿宋" w:eastAsia="仿宋_GB2312" w:cs="仿宋"/>
          <w:sz w:val="32"/>
          <w:szCs w:val="32"/>
          <w:shd w:val="clear" w:color="auto" w:fill="FFFFFF"/>
        </w:rPr>
        <w:t>八、竞买人在竞买开始前请务必再仔细阅读的《竞买须知》、《竞买公告》等有关文件。本《竞买须知》未尽事宜，</w:t>
      </w:r>
      <w:r>
        <w:rPr>
          <w:rFonts w:hint="eastAsia" w:ascii="仿宋_GB2312" w:hAnsi="仿宋" w:eastAsia="仿宋_GB2312" w:cs="仿宋"/>
          <w:spacing w:val="-4"/>
          <w:sz w:val="32"/>
          <w:szCs w:val="32"/>
        </w:rPr>
        <w:t>请向</w:t>
      </w:r>
      <w:r>
        <w:rPr>
          <w:rFonts w:hint="eastAsia" w:ascii="仿宋_GB2312" w:hAnsi="仿宋" w:eastAsia="仿宋_GB2312" w:cs="仿宋"/>
          <w:kern w:val="0"/>
          <w:sz w:val="32"/>
          <w:szCs w:val="32"/>
          <w:shd w:val="clear" w:color="auto" w:fill="FFFFFF"/>
          <w:lang w:bidi="ar"/>
        </w:rPr>
        <w:t>广州资产管理有限公司</w:t>
      </w:r>
      <w:r>
        <w:rPr>
          <w:rFonts w:hint="eastAsia" w:ascii="仿宋_GB2312" w:hAnsi="仿宋" w:eastAsia="仿宋_GB2312" w:cs="仿宋"/>
          <w:spacing w:val="-4"/>
          <w:sz w:val="32"/>
          <w:szCs w:val="32"/>
        </w:rPr>
        <w:t>咨询。</w:t>
      </w:r>
    </w:p>
    <w:p w14:paraId="4DD28042">
      <w:pPr>
        <w:widowControl/>
        <w:spacing w:line="576" w:lineRule="exact"/>
        <w:ind w:firstLine="624" w:firstLineChars="200"/>
        <w:rPr>
          <w:rFonts w:ascii="仿宋_GB2312" w:hAnsi="仿宋" w:eastAsia="仿宋_GB2312" w:cs="仿宋"/>
          <w:spacing w:val="-4"/>
          <w:sz w:val="32"/>
          <w:szCs w:val="32"/>
        </w:rPr>
      </w:pPr>
    </w:p>
    <w:p w14:paraId="11D38DD0">
      <w:pPr>
        <w:pStyle w:val="6"/>
        <w:widowControl/>
        <w:spacing w:beforeAutospacing="0" w:afterAutospacing="0" w:line="360" w:lineRule="atLeas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联系人1：</w:t>
      </w:r>
      <w:r>
        <w:rPr>
          <w:rFonts w:hint="eastAsia" w:ascii="仿宋_GB2312" w:hAnsi="仿宋" w:eastAsia="仿宋_GB2312" w:cs="仿宋"/>
          <w:color w:val="000000"/>
          <w:sz w:val="32"/>
          <w:szCs w:val="32"/>
          <w:lang w:val="en-US" w:eastAsia="zh-CN"/>
        </w:rPr>
        <w:t>杨先生</w:t>
      </w:r>
      <w:r>
        <w:rPr>
          <w:rFonts w:hint="eastAsia" w:ascii="仿宋_GB2312" w:hAnsi="仿宋" w:eastAsia="仿宋_GB2312" w:cs="仿宋"/>
          <w:color w:val="000000"/>
          <w:sz w:val="32"/>
          <w:szCs w:val="32"/>
        </w:rPr>
        <w:t xml:space="preserve">       联系电话：</w:t>
      </w:r>
      <w:r>
        <w:rPr>
          <w:rFonts w:hint="eastAsia" w:ascii="仿宋_GB2312" w:hAnsi="仿宋" w:eastAsia="仿宋_GB2312" w:cs="仿宋_GB2312"/>
          <w:kern w:val="0"/>
          <w:sz w:val="32"/>
          <w:szCs w:val="32"/>
          <w:shd w:val="clear" w:fill="FFFFFF"/>
        </w:rPr>
        <w:t>13250595949</w:t>
      </w:r>
    </w:p>
    <w:p w14:paraId="14695AE7">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_GB2312" w:hAnsi="仿宋" w:eastAsia="仿宋_GB2312" w:cs="仿宋"/>
          <w:kern w:val="0"/>
          <w:sz w:val="32"/>
          <w:szCs w:val="32"/>
          <w:shd w:val="clear" w:fill="FFFFFF"/>
        </w:rPr>
      </w:pPr>
      <w:r>
        <w:rPr>
          <w:rFonts w:hint="eastAsia" w:ascii="仿宋_GB2312" w:hAnsi="仿宋" w:eastAsia="仿宋_GB2312" w:cs="仿宋"/>
          <w:color w:val="000000"/>
          <w:sz w:val="32"/>
          <w:szCs w:val="32"/>
        </w:rPr>
        <w:t>联系人2：</w:t>
      </w:r>
      <w:r>
        <w:rPr>
          <w:rFonts w:hint="eastAsia" w:ascii="仿宋_GB2312" w:hAnsi="仿宋" w:eastAsia="仿宋_GB2312" w:cs="仿宋"/>
          <w:color w:val="000000"/>
          <w:sz w:val="32"/>
          <w:szCs w:val="32"/>
          <w:lang w:val="en-US" w:eastAsia="zh-CN"/>
        </w:rPr>
        <w:t>王先生</w:t>
      </w:r>
      <w:r>
        <w:rPr>
          <w:rFonts w:hint="eastAsia" w:ascii="仿宋_GB2312" w:hAnsi="仿宋" w:eastAsia="仿宋_GB2312" w:cs="仿宋"/>
          <w:color w:val="000000"/>
          <w:sz w:val="32"/>
          <w:szCs w:val="32"/>
        </w:rPr>
        <w:t xml:space="preserve">       联系电话：</w:t>
      </w:r>
      <w:r>
        <w:rPr>
          <w:rFonts w:hint="eastAsia" w:ascii="仿宋_GB2312" w:hAnsi="仿宋" w:eastAsia="仿宋_GB2312" w:cs="仿宋_GB2312"/>
          <w:kern w:val="0"/>
          <w:sz w:val="32"/>
          <w:szCs w:val="32"/>
          <w:shd w:val="clear" w:fill="FFFFFF"/>
          <w:lang w:val="en-US" w:eastAsia="zh-CN" w:bidi="ar"/>
        </w:rPr>
        <w:t>13126442843</w:t>
      </w:r>
    </w:p>
    <w:p w14:paraId="7AC4524B">
      <w:pPr>
        <w:autoSpaceDN w:val="0"/>
        <w:spacing w:line="660" w:lineRule="exact"/>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联系地址：广州市天河区珠江东路28号越秀金融大厦58楼</w:t>
      </w:r>
    </w:p>
    <w:p w14:paraId="36F6B196">
      <w:pPr>
        <w:spacing w:line="620" w:lineRule="exact"/>
        <w:jc w:val="right"/>
        <w:rPr>
          <w:rFonts w:ascii="仿宋_GB2312" w:hAnsi="仿宋" w:eastAsia="仿宋_GB2312" w:cs="仿宋"/>
          <w:sz w:val="32"/>
          <w:szCs w:val="32"/>
          <w:shd w:val="clear" w:color="auto" w:fill="FFFFFF"/>
        </w:rPr>
      </w:pPr>
    </w:p>
    <w:p w14:paraId="50F9F1D2">
      <w:pPr>
        <w:spacing w:line="620" w:lineRule="exact"/>
        <w:jc w:val="right"/>
        <w:rPr>
          <w:rFonts w:ascii="仿宋_GB2312" w:hAnsi="仿宋" w:eastAsia="仿宋_GB2312" w:cs="仿宋"/>
          <w:sz w:val="32"/>
          <w:szCs w:val="32"/>
          <w:shd w:val="clear" w:color="auto" w:fill="FFFFFF"/>
        </w:rPr>
      </w:pPr>
    </w:p>
    <w:p w14:paraId="2CF16A35">
      <w:pPr>
        <w:spacing w:line="620" w:lineRule="exact"/>
        <w:jc w:val="right"/>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广州资产管理有限公司</w:t>
      </w:r>
    </w:p>
    <w:p w14:paraId="40B0DA3A">
      <w:pPr>
        <w:jc w:val="right"/>
        <w:rPr>
          <w:rFonts w:ascii="仿宋" w:hAnsi="仿宋" w:eastAsia="仿宋" w:cs="仿宋"/>
          <w:sz w:val="28"/>
          <w:szCs w:val="28"/>
          <w:shd w:val="clear" w:color="auto" w:fill="FFFFFF"/>
        </w:rPr>
      </w:pPr>
      <w:r>
        <w:rPr>
          <w:rFonts w:hint="eastAsia" w:ascii="仿宋_GB2312" w:hAnsi="仿宋" w:eastAsia="仿宋_GB2312" w:cs="仿宋"/>
          <w:sz w:val="32"/>
          <w:szCs w:val="32"/>
          <w:shd w:val="clear" w:color="auto" w:fill="FFFFFF"/>
        </w:rPr>
        <w:t>202</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年</w:t>
      </w:r>
      <w:r>
        <w:rPr>
          <w:rFonts w:hint="eastAsia" w:ascii="仿宋_GB2312" w:hAnsi="仿宋" w:eastAsia="仿宋_GB2312" w:cs="仿宋"/>
          <w:sz w:val="32"/>
          <w:szCs w:val="32"/>
          <w:shd w:val="clear" w:color="auto" w:fill="FFFFFF"/>
          <w:lang w:val="en-US" w:eastAsia="zh-CN"/>
        </w:rPr>
        <w:t>7</w:t>
      </w:r>
      <w:r>
        <w:rPr>
          <w:rFonts w:hint="eastAsia" w:ascii="仿宋_GB2312" w:hAnsi="仿宋" w:eastAsia="仿宋_GB2312" w:cs="仿宋"/>
          <w:sz w:val="32"/>
          <w:szCs w:val="32"/>
          <w:shd w:val="clear" w:color="auto" w:fill="FFFFFF"/>
        </w:rPr>
        <w:t>月</w:t>
      </w:r>
      <w:r>
        <w:rPr>
          <w:rFonts w:hint="eastAsia" w:ascii="仿宋_GB2312" w:hAnsi="仿宋" w:eastAsia="仿宋_GB2312" w:cs="仿宋"/>
          <w:sz w:val="32"/>
          <w:szCs w:val="32"/>
          <w:shd w:val="clear" w:color="auto" w:fill="FFFFFF"/>
          <w:lang w:val="en-US" w:eastAsia="zh-CN"/>
        </w:rPr>
        <w:t>21</w:t>
      </w:r>
      <w:r>
        <w:rPr>
          <w:rFonts w:hint="eastAsia" w:ascii="仿宋_GB2312" w:hAnsi="仿宋" w:eastAsia="仿宋_GB2312" w:cs="仿宋"/>
          <w:sz w:val="32"/>
          <w:szCs w:val="32"/>
          <w:shd w:val="clear" w:color="auto" w:fill="FFFFFF"/>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BDE72"/>
    <w:multiLevelType w:val="singleLevel"/>
    <w:tmpl w:val="B2ABDE72"/>
    <w:lvl w:ilvl="0" w:tentative="0">
      <w:start w:val="1"/>
      <w:numFmt w:val="chineseCounting"/>
      <w:suff w:val="nothing"/>
      <w:lvlText w:val="%1、"/>
      <w:lvlJc w:val="left"/>
      <w:pPr>
        <w:ind w:left="0" w:firstLine="420"/>
      </w:pPr>
      <w:rPr>
        <w:rFonts w:hint="eastAsia"/>
      </w:rPr>
    </w:lvl>
  </w:abstractNum>
  <w:abstractNum w:abstractNumId="1">
    <w:nsid w:val="1A747B06"/>
    <w:multiLevelType w:val="singleLevel"/>
    <w:tmpl w:val="1A747B0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0BD76FF"/>
    <w:rsid w:val="000214BD"/>
    <w:rsid w:val="00040538"/>
    <w:rsid w:val="00042CFD"/>
    <w:rsid w:val="00050941"/>
    <w:rsid w:val="00054B78"/>
    <w:rsid w:val="0006785A"/>
    <w:rsid w:val="00077A47"/>
    <w:rsid w:val="000B315B"/>
    <w:rsid w:val="000C0B3B"/>
    <w:rsid w:val="000D6376"/>
    <w:rsid w:val="000F1CFF"/>
    <w:rsid w:val="000F331D"/>
    <w:rsid w:val="00110857"/>
    <w:rsid w:val="00113220"/>
    <w:rsid w:val="001178A1"/>
    <w:rsid w:val="00154A66"/>
    <w:rsid w:val="00191DD3"/>
    <w:rsid w:val="001B1658"/>
    <w:rsid w:val="001B4766"/>
    <w:rsid w:val="001B4F04"/>
    <w:rsid w:val="001C6F15"/>
    <w:rsid w:val="001C7EF6"/>
    <w:rsid w:val="001F7B36"/>
    <w:rsid w:val="0022447B"/>
    <w:rsid w:val="00260BE5"/>
    <w:rsid w:val="00272048"/>
    <w:rsid w:val="00297E7F"/>
    <w:rsid w:val="002A1C17"/>
    <w:rsid w:val="002B2B40"/>
    <w:rsid w:val="002B48A3"/>
    <w:rsid w:val="002C7098"/>
    <w:rsid w:val="002E0DBD"/>
    <w:rsid w:val="00331DDB"/>
    <w:rsid w:val="00346D28"/>
    <w:rsid w:val="00351414"/>
    <w:rsid w:val="003A067A"/>
    <w:rsid w:val="003C4EA6"/>
    <w:rsid w:val="003C6277"/>
    <w:rsid w:val="004416BC"/>
    <w:rsid w:val="004637BF"/>
    <w:rsid w:val="00471FF0"/>
    <w:rsid w:val="004C3C4A"/>
    <w:rsid w:val="004D037B"/>
    <w:rsid w:val="004E765E"/>
    <w:rsid w:val="00527C79"/>
    <w:rsid w:val="00532FE1"/>
    <w:rsid w:val="00546A99"/>
    <w:rsid w:val="00563487"/>
    <w:rsid w:val="00577922"/>
    <w:rsid w:val="00586FDF"/>
    <w:rsid w:val="005C4B40"/>
    <w:rsid w:val="00633868"/>
    <w:rsid w:val="0063714E"/>
    <w:rsid w:val="0065065F"/>
    <w:rsid w:val="00653CC4"/>
    <w:rsid w:val="006926CD"/>
    <w:rsid w:val="006D0FAA"/>
    <w:rsid w:val="0077395B"/>
    <w:rsid w:val="0078218B"/>
    <w:rsid w:val="00791065"/>
    <w:rsid w:val="00791C41"/>
    <w:rsid w:val="007A4BA9"/>
    <w:rsid w:val="007A60D0"/>
    <w:rsid w:val="007B2645"/>
    <w:rsid w:val="007B272E"/>
    <w:rsid w:val="007D0DDB"/>
    <w:rsid w:val="00867BAD"/>
    <w:rsid w:val="00887438"/>
    <w:rsid w:val="00892EA4"/>
    <w:rsid w:val="008B4271"/>
    <w:rsid w:val="008C2696"/>
    <w:rsid w:val="00930BFD"/>
    <w:rsid w:val="00934568"/>
    <w:rsid w:val="00936BCB"/>
    <w:rsid w:val="009811D9"/>
    <w:rsid w:val="00985C18"/>
    <w:rsid w:val="00993865"/>
    <w:rsid w:val="009A233E"/>
    <w:rsid w:val="009E22D8"/>
    <w:rsid w:val="009E2634"/>
    <w:rsid w:val="009F3EEE"/>
    <w:rsid w:val="00A034FB"/>
    <w:rsid w:val="00A0755E"/>
    <w:rsid w:val="00A175D8"/>
    <w:rsid w:val="00A23B75"/>
    <w:rsid w:val="00A37F2F"/>
    <w:rsid w:val="00A80AE0"/>
    <w:rsid w:val="00A96218"/>
    <w:rsid w:val="00AE1CDE"/>
    <w:rsid w:val="00B01759"/>
    <w:rsid w:val="00B46A61"/>
    <w:rsid w:val="00BA1CF4"/>
    <w:rsid w:val="00BB1C50"/>
    <w:rsid w:val="00BC2152"/>
    <w:rsid w:val="00BD76FF"/>
    <w:rsid w:val="00BE54AC"/>
    <w:rsid w:val="00C018DD"/>
    <w:rsid w:val="00C408CB"/>
    <w:rsid w:val="00C421C4"/>
    <w:rsid w:val="00C73F09"/>
    <w:rsid w:val="00C962D3"/>
    <w:rsid w:val="00C963E9"/>
    <w:rsid w:val="00CA2871"/>
    <w:rsid w:val="00CB450F"/>
    <w:rsid w:val="00CF7D84"/>
    <w:rsid w:val="00D07C87"/>
    <w:rsid w:val="00D133C3"/>
    <w:rsid w:val="00D1357D"/>
    <w:rsid w:val="00D23438"/>
    <w:rsid w:val="00D26CCC"/>
    <w:rsid w:val="00D27670"/>
    <w:rsid w:val="00D459D3"/>
    <w:rsid w:val="00D54A5A"/>
    <w:rsid w:val="00D55809"/>
    <w:rsid w:val="00D74155"/>
    <w:rsid w:val="00DA1824"/>
    <w:rsid w:val="00DA624B"/>
    <w:rsid w:val="00DB0C37"/>
    <w:rsid w:val="00DD326E"/>
    <w:rsid w:val="00DD6515"/>
    <w:rsid w:val="00DF013B"/>
    <w:rsid w:val="00E04BE4"/>
    <w:rsid w:val="00E26A1B"/>
    <w:rsid w:val="00E52CF4"/>
    <w:rsid w:val="00E76CDA"/>
    <w:rsid w:val="00E82DC0"/>
    <w:rsid w:val="00E84BE4"/>
    <w:rsid w:val="00E8592A"/>
    <w:rsid w:val="00E9163B"/>
    <w:rsid w:val="00EC3306"/>
    <w:rsid w:val="00EC725C"/>
    <w:rsid w:val="00EE58C6"/>
    <w:rsid w:val="00F05596"/>
    <w:rsid w:val="00F1089A"/>
    <w:rsid w:val="00F668E4"/>
    <w:rsid w:val="00F70E5C"/>
    <w:rsid w:val="00F71DF0"/>
    <w:rsid w:val="00F943D9"/>
    <w:rsid w:val="00FA014E"/>
    <w:rsid w:val="00FA5B2C"/>
    <w:rsid w:val="00FA6F03"/>
    <w:rsid w:val="00FC5AFA"/>
    <w:rsid w:val="00FE048D"/>
    <w:rsid w:val="00FE209D"/>
    <w:rsid w:val="05D0466D"/>
    <w:rsid w:val="05DF27DB"/>
    <w:rsid w:val="07722760"/>
    <w:rsid w:val="08464681"/>
    <w:rsid w:val="08861598"/>
    <w:rsid w:val="088A374F"/>
    <w:rsid w:val="09617FC3"/>
    <w:rsid w:val="09CB1140"/>
    <w:rsid w:val="0B4150A5"/>
    <w:rsid w:val="0B6760A0"/>
    <w:rsid w:val="0D495E50"/>
    <w:rsid w:val="0E5A41D0"/>
    <w:rsid w:val="114E09F6"/>
    <w:rsid w:val="11950F5D"/>
    <w:rsid w:val="11C761B9"/>
    <w:rsid w:val="130F2D87"/>
    <w:rsid w:val="133B35B5"/>
    <w:rsid w:val="13D65AB7"/>
    <w:rsid w:val="14233874"/>
    <w:rsid w:val="16173B48"/>
    <w:rsid w:val="16A833AB"/>
    <w:rsid w:val="17387EA0"/>
    <w:rsid w:val="175C63DE"/>
    <w:rsid w:val="1F265BAC"/>
    <w:rsid w:val="1F8A4A18"/>
    <w:rsid w:val="212058CC"/>
    <w:rsid w:val="232F12FF"/>
    <w:rsid w:val="23A631F6"/>
    <w:rsid w:val="26050834"/>
    <w:rsid w:val="267628FF"/>
    <w:rsid w:val="279A5EE5"/>
    <w:rsid w:val="29DF4395"/>
    <w:rsid w:val="2A2F0534"/>
    <w:rsid w:val="2A8E3BD7"/>
    <w:rsid w:val="2E6D5308"/>
    <w:rsid w:val="2F9665D8"/>
    <w:rsid w:val="2FE95A50"/>
    <w:rsid w:val="2FF239AC"/>
    <w:rsid w:val="316E5C4E"/>
    <w:rsid w:val="31E20521"/>
    <w:rsid w:val="326B59F7"/>
    <w:rsid w:val="32891550"/>
    <w:rsid w:val="330A50C4"/>
    <w:rsid w:val="334B0CFA"/>
    <w:rsid w:val="3523507B"/>
    <w:rsid w:val="36727633"/>
    <w:rsid w:val="36B80D28"/>
    <w:rsid w:val="383E72EA"/>
    <w:rsid w:val="393A24E2"/>
    <w:rsid w:val="399C0AF6"/>
    <w:rsid w:val="3A4215FF"/>
    <w:rsid w:val="3A9C03AB"/>
    <w:rsid w:val="3C7018F2"/>
    <w:rsid w:val="3F7A5703"/>
    <w:rsid w:val="3FCE219D"/>
    <w:rsid w:val="415332D7"/>
    <w:rsid w:val="423D57A1"/>
    <w:rsid w:val="42B93C3A"/>
    <w:rsid w:val="43EB3AFC"/>
    <w:rsid w:val="469C3918"/>
    <w:rsid w:val="476D603A"/>
    <w:rsid w:val="47BF2218"/>
    <w:rsid w:val="48A761B6"/>
    <w:rsid w:val="4A3C6F44"/>
    <w:rsid w:val="4AE72712"/>
    <w:rsid w:val="4AF7486D"/>
    <w:rsid w:val="4C6E4BBE"/>
    <w:rsid w:val="4C7E3735"/>
    <w:rsid w:val="4CC26F1A"/>
    <w:rsid w:val="4CDB153D"/>
    <w:rsid w:val="4DB015FD"/>
    <w:rsid w:val="4DB34AAC"/>
    <w:rsid w:val="4E2614D4"/>
    <w:rsid w:val="50436393"/>
    <w:rsid w:val="52535A47"/>
    <w:rsid w:val="540D3D80"/>
    <w:rsid w:val="54C129F6"/>
    <w:rsid w:val="55516D5D"/>
    <w:rsid w:val="56364D99"/>
    <w:rsid w:val="57D02030"/>
    <w:rsid w:val="57E67137"/>
    <w:rsid w:val="589333CB"/>
    <w:rsid w:val="595012B9"/>
    <w:rsid w:val="59A6778A"/>
    <w:rsid w:val="5A4C2C0D"/>
    <w:rsid w:val="5BF108E3"/>
    <w:rsid w:val="5CB367D8"/>
    <w:rsid w:val="5CE8405B"/>
    <w:rsid w:val="5CE853C2"/>
    <w:rsid w:val="5DC06C15"/>
    <w:rsid w:val="5FFF6E1A"/>
    <w:rsid w:val="60D847A8"/>
    <w:rsid w:val="62D9415E"/>
    <w:rsid w:val="62EF4FFB"/>
    <w:rsid w:val="6347210A"/>
    <w:rsid w:val="63905C09"/>
    <w:rsid w:val="63E46B9A"/>
    <w:rsid w:val="64687030"/>
    <w:rsid w:val="653467EB"/>
    <w:rsid w:val="68070EB1"/>
    <w:rsid w:val="6A0369AB"/>
    <w:rsid w:val="6A997170"/>
    <w:rsid w:val="6C1D3005"/>
    <w:rsid w:val="6E6F1B6B"/>
    <w:rsid w:val="6EC269D3"/>
    <w:rsid w:val="72547259"/>
    <w:rsid w:val="741E747F"/>
    <w:rsid w:val="768D3BB1"/>
    <w:rsid w:val="77604D2E"/>
    <w:rsid w:val="78390EEB"/>
    <w:rsid w:val="795508FB"/>
    <w:rsid w:val="7A37456E"/>
    <w:rsid w:val="7CBD31A2"/>
    <w:rsid w:val="7D631BFF"/>
    <w:rsid w:val="7DAC0454"/>
    <w:rsid w:val="7F11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alloon Text"/>
    <w:basedOn w:val="1"/>
    <w:link w:val="15"/>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annotation subject"/>
    <w:basedOn w:val="2"/>
    <w:next w:val="2"/>
    <w:link w:val="17"/>
    <w:qFormat/>
    <w:uiPriority w:val="0"/>
    <w:rPr>
      <w:b/>
      <w:bCs/>
    </w:rPr>
  </w:style>
  <w:style w:type="character" w:styleId="10">
    <w:name w:val="Strong"/>
    <w:qFormat/>
    <w:uiPriority w:val="0"/>
    <w:rPr>
      <w:b/>
    </w:rPr>
  </w:style>
  <w:style w:type="character" w:styleId="11">
    <w:name w:val="annotation reference"/>
    <w:basedOn w:val="9"/>
    <w:qFormat/>
    <w:uiPriority w:val="0"/>
    <w:rPr>
      <w:sz w:val="21"/>
      <w:szCs w:val="21"/>
    </w:rPr>
  </w:style>
  <w:style w:type="character" w:customStyle="1" w:styleId="12">
    <w:name w:val="页眉 字符"/>
    <w:link w:val="5"/>
    <w:qFormat/>
    <w:uiPriority w:val="0"/>
    <w:rPr>
      <w:rFonts w:ascii="Calibri" w:hAnsi="Calibri"/>
      <w:kern w:val="2"/>
      <w:sz w:val="18"/>
      <w:szCs w:val="18"/>
    </w:rPr>
  </w:style>
  <w:style w:type="character" w:customStyle="1" w:styleId="13">
    <w:name w:val="页脚 字符"/>
    <w:link w:val="4"/>
    <w:qFormat/>
    <w:uiPriority w:val="0"/>
    <w:rPr>
      <w:rFonts w:ascii="Calibri" w:hAnsi="Calibri"/>
      <w:kern w:val="2"/>
      <w:sz w:val="18"/>
      <w:szCs w:val="18"/>
    </w:rPr>
  </w:style>
  <w:style w:type="paragraph" w:styleId="14">
    <w:name w:val="List Paragraph"/>
    <w:basedOn w:val="1"/>
    <w:qFormat/>
    <w:uiPriority w:val="99"/>
    <w:pPr>
      <w:ind w:firstLine="420" w:firstLineChars="200"/>
    </w:pPr>
  </w:style>
  <w:style w:type="character" w:customStyle="1" w:styleId="15">
    <w:name w:val="批注框文本 字符"/>
    <w:basedOn w:val="9"/>
    <w:link w:val="3"/>
    <w:qFormat/>
    <w:uiPriority w:val="0"/>
    <w:rPr>
      <w:rFonts w:ascii="Calibri" w:hAnsi="Calibri"/>
      <w:kern w:val="2"/>
      <w:sz w:val="18"/>
      <w:szCs w:val="18"/>
    </w:rPr>
  </w:style>
  <w:style w:type="character" w:customStyle="1" w:styleId="16">
    <w:name w:val="批注文字 字符"/>
    <w:basedOn w:val="9"/>
    <w:link w:val="2"/>
    <w:qFormat/>
    <w:uiPriority w:val="0"/>
    <w:rPr>
      <w:rFonts w:ascii="Calibri" w:hAnsi="Calibri"/>
      <w:kern w:val="2"/>
      <w:sz w:val="21"/>
      <w:szCs w:val="24"/>
    </w:rPr>
  </w:style>
  <w:style w:type="character" w:customStyle="1" w:styleId="17">
    <w:name w:val="批注主题 字符"/>
    <w:basedOn w:val="16"/>
    <w:link w:val="7"/>
    <w:qFormat/>
    <w:uiPriority w:val="0"/>
    <w:rPr>
      <w:rFonts w:ascii="Calibri" w:hAnsi="Calibri"/>
      <w:b/>
      <w:bCs/>
      <w:kern w:val="2"/>
      <w:sz w:val="21"/>
      <w:szCs w:val="24"/>
    </w:rPr>
  </w:style>
  <w:style w:type="paragraph" w:customStyle="1" w:styleId="18">
    <w:name w:val="修订1"/>
    <w:hidden/>
    <w:semiHidden/>
    <w:qFormat/>
    <w:uiPriority w:val="99"/>
    <w:rPr>
      <w:rFonts w:ascii="Calibri" w:hAnsi="Calibri" w:eastAsia="宋体" w:cs="Times New Roman"/>
      <w:kern w:val="2"/>
      <w:sz w:val="21"/>
      <w:szCs w:val="24"/>
      <w:lang w:val="en-US" w:eastAsia="zh-CN" w:bidi="ar-SA"/>
    </w:rPr>
  </w:style>
  <w:style w:type="paragraph" w:customStyle="1" w:styleId="19">
    <w:name w:val="修订2"/>
    <w:hidden/>
    <w:unhideWhenUsed/>
    <w:qFormat/>
    <w:uiPriority w:val="99"/>
    <w:rPr>
      <w:rFonts w:ascii="Calibri" w:hAnsi="Calibri" w:eastAsia="宋体" w:cs="Times New Roman"/>
      <w:kern w:val="2"/>
      <w:sz w:val="21"/>
      <w:szCs w:val="24"/>
      <w:lang w:val="en-US" w:eastAsia="zh-CN" w:bidi="ar-SA"/>
    </w:rPr>
  </w:style>
  <w:style w:type="paragraph" w:customStyle="1" w:styleId="20">
    <w:name w:val="修订3"/>
    <w:hidden/>
    <w:unhideWhenUsed/>
    <w:qFormat/>
    <w:uiPriority w:val="99"/>
    <w:rPr>
      <w:rFonts w:ascii="Calibri" w:hAnsi="Calibri" w:eastAsia="宋体" w:cs="Times New Roman"/>
      <w:kern w:val="2"/>
      <w:sz w:val="21"/>
      <w:szCs w:val="24"/>
      <w:lang w:val="en-US" w:eastAsia="zh-CN" w:bidi="ar-SA"/>
    </w:rPr>
  </w:style>
  <w:style w:type="paragraph" w:customStyle="1" w:styleId="21">
    <w:name w:val="修订4"/>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17</Pages>
  <Words>7786</Words>
  <Characters>7936</Characters>
  <Lines>1</Lines>
  <Paragraphs>1</Paragraphs>
  <TotalTime>13</TotalTime>
  <ScaleCrop>false</ScaleCrop>
  <LinksUpToDate>false</LinksUpToDate>
  <CharactersWithSpaces>7951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2025-10-11T07:59:00Z</dcterms:created>
  <dc:creator>Administrator</dc:creator>
  <cp:lastModifiedBy>王烜</cp:lastModifiedBy>
  <cp:lastPrinted>2024-09-23T01:04:00Z</cp:lastPrinted>
  <dcterms:modified xsi:type="dcterms:W3CDTF">2026-07-21T02:32:46Z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9A1BE5E4624A4C37B06E23BEF1D009ED_13</vt:lpwstr>
  </property>
  <property fmtid="{D5CDD505-2E9C-101B-9397-08002B2CF9AE}" pid="4" name="KSOTemplateDocerSaveRecord">
    <vt:lpwstr>eyJoZGlkIjoiNTJkY2QwZDk0N2NjNDgyZWNiNjQ5YjQzNjg5MWYyNjMiLCJ1c2VySWQiOiIzODUwMDExMDIifQ==</vt:lpwstr>
  </property>
</Properties>
</file>