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78091">
      <w:pPr>
        <w:jc w:val="center"/>
        <w:rPr>
          <w:rFonts w:ascii="方正小标宋简体" w:hAnsi="华文中宋" w:eastAsia="方正小标宋简体"/>
          <w:bCs/>
          <w:sz w:val="44"/>
          <w:szCs w:val="44"/>
        </w:rPr>
      </w:pPr>
      <w:r>
        <w:rPr>
          <w:rFonts w:hint="eastAsia" w:ascii="方正小标宋简体" w:hAnsi="华文中宋" w:eastAsia="方正小标宋简体"/>
          <w:bCs/>
          <w:sz w:val="44"/>
          <w:szCs w:val="44"/>
        </w:rPr>
        <w:t>标的物介绍</w:t>
      </w:r>
    </w:p>
    <w:p w14:paraId="0715FAE6">
      <w:pPr>
        <w:rPr>
          <w:rFonts w:ascii="黑体" w:hAnsi="黑体" w:eastAsia="黑体"/>
          <w:b/>
          <w:bCs/>
          <w:sz w:val="32"/>
          <w:szCs w:val="32"/>
        </w:rPr>
      </w:pPr>
      <w:r>
        <w:rPr>
          <w:rFonts w:hint="eastAsia" w:ascii="黑体" w:hAnsi="黑体" w:eastAsia="黑体"/>
          <w:b/>
          <w:bCs/>
          <w:sz w:val="32"/>
          <w:szCs w:val="32"/>
        </w:rPr>
        <w:t>一、基本情况</w:t>
      </w:r>
    </w:p>
    <w:p w14:paraId="19030A3D">
      <w:pPr>
        <w:spacing w:line="360" w:lineRule="auto"/>
        <w:ind w:firstLine="784" w:firstLineChars="252"/>
        <w:rPr>
          <w:rFonts w:ascii="仿宋_GB2312" w:hAnsi="仿宋" w:eastAsia="仿宋_GB2312"/>
          <w:sz w:val="32"/>
          <w:szCs w:val="32"/>
          <w:u w:val="single"/>
        </w:rPr>
      </w:pPr>
      <w:bookmarkStart w:id="0" w:name="_Hlk89712118"/>
      <w:r>
        <w:rPr>
          <w:rFonts w:ascii="仿宋_GB2312" w:hAnsi="宋体" w:eastAsia="仿宋_GB2312" w:cs="仿宋_GB2312"/>
          <w:b/>
          <w:bCs/>
          <w:color w:val="000000"/>
          <w:kern w:val="0"/>
          <w:sz w:val="31"/>
          <w:szCs w:val="31"/>
          <w:u w:val="single"/>
          <w:lang w:bidi="ar"/>
        </w:rPr>
        <w:t>湛江市展盛贸易有限公司等2户</w:t>
      </w:r>
      <w:r>
        <w:rPr>
          <w:rFonts w:hint="eastAsia" w:ascii="仿宋_GB2312" w:hAnsi="仿宋" w:eastAsia="仿宋_GB2312"/>
          <w:b/>
          <w:bCs/>
          <w:sz w:val="32"/>
          <w:szCs w:val="32"/>
          <w:u w:val="single"/>
        </w:rPr>
        <w:t>债权</w:t>
      </w:r>
      <w:r>
        <w:rPr>
          <w:rFonts w:hint="eastAsia" w:ascii="仿宋_GB2312" w:hAnsi="仿宋" w:eastAsia="仿宋_GB2312"/>
          <w:sz w:val="32"/>
          <w:szCs w:val="32"/>
          <w:u w:val="single"/>
        </w:rPr>
        <w:t>（下称“标的债权”），截至处置基准日</w:t>
      </w:r>
      <w:r>
        <w:rPr>
          <w:rFonts w:ascii="仿宋_GB2312" w:hAnsi="仿宋" w:eastAsia="仿宋_GB2312"/>
          <w:sz w:val="32"/>
          <w:szCs w:val="32"/>
          <w:u w:val="single"/>
        </w:rPr>
        <w:t>202</w:t>
      </w:r>
      <w:r>
        <w:rPr>
          <w:rFonts w:hint="eastAsia" w:ascii="仿宋_GB2312" w:hAnsi="仿宋" w:eastAsia="仿宋_GB2312"/>
          <w:sz w:val="32"/>
          <w:szCs w:val="32"/>
          <w:u w:val="single"/>
          <w:lang w:val="en-US" w:eastAsia="zh-CN"/>
        </w:rPr>
        <w:t>6</w:t>
      </w:r>
      <w:r>
        <w:rPr>
          <w:rFonts w:ascii="仿宋_GB2312" w:hAnsi="仿宋" w:eastAsia="仿宋_GB2312"/>
          <w:sz w:val="32"/>
          <w:szCs w:val="32"/>
          <w:u w:val="single"/>
        </w:rPr>
        <w:t>年</w:t>
      </w:r>
      <w:bookmarkStart w:id="1" w:name="_GoBack"/>
      <w:bookmarkEnd w:id="1"/>
      <w:r>
        <w:rPr>
          <w:rFonts w:hint="eastAsia" w:ascii="仿宋_GB2312" w:hAnsi="仿宋" w:eastAsia="仿宋_GB2312"/>
          <w:sz w:val="32"/>
          <w:szCs w:val="32"/>
          <w:u w:val="single"/>
          <w:lang w:val="en-US" w:eastAsia="zh-CN"/>
        </w:rPr>
        <w:t>5</w:t>
      </w:r>
      <w:r>
        <w:rPr>
          <w:rFonts w:ascii="仿宋_GB2312" w:hAnsi="仿宋" w:eastAsia="仿宋_GB2312"/>
          <w:sz w:val="32"/>
          <w:szCs w:val="32"/>
          <w:u w:val="single"/>
        </w:rPr>
        <w:t>月3</w:t>
      </w:r>
      <w:r>
        <w:rPr>
          <w:rFonts w:hint="eastAsia" w:ascii="仿宋_GB2312" w:hAnsi="仿宋" w:eastAsia="仿宋_GB2312"/>
          <w:sz w:val="32"/>
          <w:szCs w:val="32"/>
          <w:u w:val="single"/>
          <w:lang w:val="en-US" w:eastAsia="zh-CN"/>
        </w:rPr>
        <w:t>1</w:t>
      </w:r>
      <w:r>
        <w:rPr>
          <w:rFonts w:ascii="仿宋_GB2312" w:hAnsi="仿宋" w:eastAsia="仿宋_GB2312"/>
          <w:sz w:val="32"/>
          <w:szCs w:val="32"/>
          <w:u w:val="single"/>
        </w:rPr>
        <w:t>日，</w:t>
      </w:r>
      <w:r>
        <w:rPr>
          <w:rFonts w:hint="eastAsia" w:ascii="仿宋_GB2312" w:hAnsi="仿宋" w:eastAsia="仿宋_GB2312"/>
          <w:sz w:val="32"/>
          <w:szCs w:val="32"/>
          <w:u w:val="single"/>
          <w:lang w:val="en-US" w:eastAsia="zh-CN"/>
        </w:rPr>
        <w:t>标的</w:t>
      </w:r>
      <w:r>
        <w:rPr>
          <w:rFonts w:ascii="仿宋_GB2312" w:hAnsi="仿宋" w:eastAsia="仿宋_GB2312"/>
          <w:sz w:val="32"/>
          <w:szCs w:val="32"/>
          <w:u w:val="single"/>
        </w:rPr>
        <w:t>债权本金</w:t>
      </w:r>
      <w:r>
        <w:rPr>
          <w:rFonts w:hint="eastAsia" w:ascii="仿宋_GB2312" w:hAnsi="仿宋" w:eastAsia="仿宋_GB2312"/>
          <w:sz w:val="32"/>
          <w:szCs w:val="32"/>
          <w:u w:val="single"/>
          <w:lang w:val="en-US" w:eastAsia="zh-CN"/>
        </w:rPr>
        <w:t>合计7,048.24万元</w:t>
      </w:r>
      <w:r>
        <w:rPr>
          <w:rFonts w:ascii="仿宋_GB2312" w:hAnsi="仿宋" w:eastAsia="仿宋_GB2312"/>
          <w:sz w:val="32"/>
          <w:szCs w:val="32"/>
          <w:u w:val="single"/>
        </w:rPr>
        <w:t>。</w:t>
      </w:r>
    </w:p>
    <w:bookmarkEnd w:id="0"/>
    <w:p w14:paraId="51A89E67">
      <w:pPr>
        <w:spacing w:line="360" w:lineRule="auto"/>
        <w:ind w:firstLine="806" w:firstLineChars="252"/>
        <w:rPr>
          <w:rFonts w:ascii="仿宋_GB2312" w:hAnsi="仿宋" w:eastAsia="仿宋_GB2312"/>
          <w:sz w:val="32"/>
          <w:szCs w:val="32"/>
        </w:rPr>
      </w:pPr>
      <w:r>
        <w:rPr>
          <w:rFonts w:hint="eastAsia" w:ascii="仿宋_GB2312" w:hAnsi="仿宋" w:eastAsia="仿宋_GB2312"/>
          <w:sz w:val="32"/>
          <w:szCs w:val="32"/>
        </w:rPr>
        <w:t>具体情况如下：</w:t>
      </w:r>
    </w:p>
    <w:p w14:paraId="2363D2F5">
      <w:pPr>
        <w:spacing w:line="360" w:lineRule="auto"/>
        <w:jc w:val="right"/>
        <w:rPr>
          <w:rFonts w:ascii="仿宋_GB2312" w:hAnsi="仿宋" w:eastAsia="仿宋_GB2312"/>
          <w:sz w:val="32"/>
          <w:szCs w:val="32"/>
        </w:rPr>
      </w:pPr>
      <w:r>
        <w:rPr>
          <w:rFonts w:hint="eastAsia" w:ascii="仿宋_GB2312" w:hAnsi="仿宋" w:eastAsia="仿宋_GB2312"/>
          <w:sz w:val="32"/>
          <w:szCs w:val="32"/>
        </w:rPr>
        <w:t>单位：人民币/万元</w:t>
      </w:r>
    </w:p>
    <w:tbl>
      <w:tblPr>
        <w:tblStyle w:val="12"/>
        <w:tblW w:w="52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476"/>
        <w:gridCol w:w="970"/>
        <w:gridCol w:w="1128"/>
        <w:gridCol w:w="1238"/>
        <w:gridCol w:w="2738"/>
        <w:gridCol w:w="1466"/>
        <w:gridCol w:w="973"/>
      </w:tblGrid>
      <w:tr w14:paraId="3B8D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14" w:hRule="atLeast"/>
          <w:tblHeader/>
          <w:jc w:val="center"/>
        </w:trPr>
        <w:tc>
          <w:tcPr>
            <w:tcW w:w="265" w:type="pct"/>
            <w:shd w:val="clear" w:color="auto" w:fill="FFFFFF"/>
            <w:vAlign w:val="center"/>
          </w:tcPr>
          <w:p w14:paraId="6432D1FA">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序号</w:t>
            </w:r>
          </w:p>
        </w:tc>
        <w:tc>
          <w:tcPr>
            <w:tcW w:w="538" w:type="pct"/>
            <w:shd w:val="clear" w:color="auto" w:fill="FFFFFF"/>
            <w:vAlign w:val="center"/>
          </w:tcPr>
          <w:p w14:paraId="660FAE0F">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借款人名称</w:t>
            </w:r>
          </w:p>
        </w:tc>
        <w:tc>
          <w:tcPr>
            <w:tcW w:w="627" w:type="pct"/>
            <w:shd w:val="clear" w:color="auto" w:fill="FFFFFF"/>
            <w:vAlign w:val="center"/>
          </w:tcPr>
          <w:p w14:paraId="2377A0AE">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本金</w:t>
            </w:r>
          </w:p>
        </w:tc>
        <w:tc>
          <w:tcPr>
            <w:tcW w:w="688" w:type="pct"/>
            <w:shd w:val="clear" w:color="auto" w:fill="FFFFFF"/>
            <w:vAlign w:val="center"/>
          </w:tcPr>
          <w:p w14:paraId="1633D0BF">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债权金额</w:t>
            </w:r>
          </w:p>
        </w:tc>
        <w:tc>
          <w:tcPr>
            <w:tcW w:w="1522" w:type="pct"/>
            <w:shd w:val="clear" w:color="auto" w:fill="FFFFFF"/>
            <w:vAlign w:val="center"/>
          </w:tcPr>
          <w:p w14:paraId="1A8F3710">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抵质押物情况</w:t>
            </w:r>
          </w:p>
        </w:tc>
        <w:tc>
          <w:tcPr>
            <w:tcW w:w="815" w:type="pct"/>
            <w:shd w:val="clear" w:color="auto" w:fill="FFFFFF"/>
            <w:vAlign w:val="center"/>
          </w:tcPr>
          <w:p w14:paraId="08B5C620">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保证人</w:t>
            </w:r>
          </w:p>
        </w:tc>
        <w:tc>
          <w:tcPr>
            <w:tcW w:w="541" w:type="pct"/>
            <w:shd w:val="clear" w:color="auto" w:fill="FFFFFF"/>
            <w:vAlign w:val="center"/>
          </w:tcPr>
          <w:p w14:paraId="05831516">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诉讼情况</w:t>
            </w:r>
          </w:p>
        </w:tc>
      </w:tr>
      <w:tr w14:paraId="7D81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35" w:hRule="atLeast"/>
          <w:jc w:val="center"/>
        </w:trPr>
        <w:tc>
          <w:tcPr>
            <w:tcW w:w="265" w:type="pct"/>
            <w:shd w:val="clear" w:color="auto" w:fill="FFFFFF"/>
            <w:vAlign w:val="center"/>
          </w:tcPr>
          <w:p w14:paraId="0DBF3D34">
            <w:pPr>
              <w:jc w:val="center"/>
              <w:rPr>
                <w:rFonts w:ascii="仿宋_GB2312" w:hAnsi="Times New Roman" w:eastAsia="仿宋_GB2312" w:cs="Times New Roman"/>
                <w:szCs w:val="21"/>
              </w:rPr>
            </w:pPr>
            <w:r>
              <w:rPr>
                <w:rFonts w:hint="eastAsia" w:ascii="仿宋_GB2312" w:hAnsi="Times New Roman" w:eastAsia="仿宋_GB2312" w:cs="Times New Roman"/>
                <w:szCs w:val="21"/>
              </w:rPr>
              <w:t>1</w:t>
            </w:r>
          </w:p>
        </w:tc>
        <w:tc>
          <w:tcPr>
            <w:tcW w:w="944" w:type="dxa"/>
            <w:shd w:val="clear" w:color="auto" w:fill="FFFFFF"/>
            <w:vAlign w:val="center"/>
          </w:tcPr>
          <w:p w14:paraId="215FCFF8">
            <w:pPr>
              <w:jc w:val="center"/>
              <w:rPr>
                <w:rFonts w:ascii="仿宋_GB2312" w:hAnsi="Times New Roman" w:eastAsia="仿宋_GB2312" w:cs="Times New Roman"/>
                <w:szCs w:val="21"/>
              </w:rPr>
            </w:pPr>
            <w:r>
              <w:rPr>
                <w:rFonts w:hint="eastAsia" w:ascii="仿宋_GB2312" w:eastAsia="仿宋_GB2312"/>
              </w:rPr>
              <w:t>湛江市展盛贸易有限公司</w:t>
            </w:r>
          </w:p>
        </w:tc>
        <w:tc>
          <w:tcPr>
            <w:tcW w:w="1098" w:type="dxa"/>
            <w:shd w:val="clear" w:color="auto" w:fill="auto"/>
            <w:vAlign w:val="center"/>
          </w:tcPr>
          <w:p w14:paraId="4DD110A4">
            <w:pPr>
              <w:jc w:val="center"/>
              <w:rPr>
                <w:rFonts w:ascii="仿宋_GB2312" w:hAnsi="Times New Roman" w:eastAsia="仿宋_GB2312" w:cs="Times New Roman"/>
                <w:szCs w:val="21"/>
              </w:rPr>
            </w:pPr>
            <w:r>
              <w:rPr>
                <w:rFonts w:hint="eastAsia" w:ascii="仿宋_GB2312" w:hAnsi="等线" w:eastAsia="仿宋_GB2312"/>
                <w:color w:val="000000"/>
                <w:sz w:val="22"/>
              </w:rPr>
              <w:t>5,448.83</w:t>
            </w:r>
          </w:p>
        </w:tc>
        <w:tc>
          <w:tcPr>
            <w:tcW w:w="1205" w:type="dxa"/>
            <w:tcBorders>
              <w:top w:val="single" w:color="auto" w:sz="4" w:space="0"/>
              <w:left w:val="single" w:color="auto" w:sz="4" w:space="0"/>
              <w:bottom w:val="single" w:color="auto" w:sz="4" w:space="0"/>
              <w:right w:val="single" w:color="auto" w:sz="4" w:space="0"/>
            </w:tcBorders>
            <w:shd w:val="clear" w:color="auto" w:fill="auto"/>
            <w:vAlign w:val="center"/>
          </w:tcPr>
          <w:p w14:paraId="6A0DCA64">
            <w:pPr>
              <w:jc w:val="center"/>
              <w:rPr>
                <w:rFonts w:ascii="仿宋_GB2312" w:eastAsia="仿宋_GB2312"/>
              </w:rPr>
            </w:pPr>
            <w:r>
              <w:rPr>
                <w:rFonts w:hint="eastAsia" w:ascii="仿宋_GB2312" w:hAnsi="等线" w:eastAsia="仿宋_GB2312"/>
                <w:color w:val="000000"/>
                <w:sz w:val="22"/>
              </w:rPr>
              <w:t>19,988.66</w:t>
            </w:r>
          </w:p>
        </w:tc>
        <w:tc>
          <w:tcPr>
            <w:tcW w:w="1522" w:type="pct"/>
            <w:vMerge w:val="restart"/>
            <w:shd w:val="clear" w:color="auto" w:fill="FFFFFF"/>
            <w:vAlign w:val="center"/>
          </w:tcPr>
          <w:p w14:paraId="56E67797">
            <w:pPr>
              <w:jc w:val="center"/>
              <w:rPr>
                <w:rFonts w:ascii="仿宋_GB2312" w:hAnsi="Times New Roman" w:eastAsia="仿宋_GB2312" w:cs="Times New Roman"/>
                <w:szCs w:val="21"/>
              </w:rPr>
            </w:pPr>
            <w:r>
              <w:rPr>
                <w:rFonts w:hint="eastAsia" w:ascii="仿宋_GB2312" w:hAnsi="Times New Roman" w:eastAsia="仿宋_GB2312" w:cs="Times New Roman"/>
                <w:szCs w:val="21"/>
              </w:rPr>
              <w:t>湛江市俊丞贸易有限公司提供位于湛江市坡头区鸡咀山公路北侧的土地使用权（商住用地，面积为44035.43平方米）及地上的楼房1幢（建基面积579.32平方米,建筑面积3995.30平方米。</w:t>
            </w:r>
          </w:p>
          <w:p w14:paraId="62B5D9D8">
            <w:pPr>
              <w:jc w:val="center"/>
              <w:rPr>
                <w:rFonts w:ascii="仿宋_GB2312" w:hAnsi="Times New Roman" w:eastAsia="仿宋_GB2312" w:cs="Times New Roman"/>
                <w:szCs w:val="21"/>
              </w:rPr>
            </w:pPr>
            <w:r>
              <w:rPr>
                <w:rFonts w:hint="eastAsia" w:ascii="仿宋_GB2312" w:hAnsi="Times New Roman" w:eastAsia="仿宋_GB2312" w:cs="Times New Roman"/>
                <w:szCs w:val="21"/>
              </w:rPr>
              <w:t>由于上述抵押物同时为通宝公司、展盛公司贷款提供抵押担保,故抵押物价值按贷款占比分摊，通宝公司占比23%，展盛公司占比77%。</w:t>
            </w:r>
          </w:p>
        </w:tc>
        <w:tc>
          <w:tcPr>
            <w:tcW w:w="815" w:type="pct"/>
            <w:shd w:val="clear" w:color="auto" w:fill="FFFFFF"/>
            <w:vAlign w:val="center"/>
          </w:tcPr>
          <w:p w14:paraId="600C7088">
            <w:pPr>
              <w:jc w:val="center"/>
              <w:rPr>
                <w:rFonts w:ascii="仿宋_GB2312" w:hAnsi="Times New Roman" w:eastAsia="仿宋_GB2312" w:cs="Times New Roman"/>
                <w:szCs w:val="21"/>
              </w:rPr>
            </w:pPr>
            <w:r>
              <w:rPr>
                <w:rFonts w:hint="eastAsia" w:ascii="仿宋_GB2312" w:eastAsia="仿宋_GB2312"/>
              </w:rPr>
              <w:t>湛江市俊丞贸易有限公司、容华通、戴亚水、文星懿</w:t>
            </w:r>
          </w:p>
        </w:tc>
        <w:tc>
          <w:tcPr>
            <w:tcW w:w="541" w:type="pct"/>
            <w:shd w:val="clear" w:color="auto" w:fill="FFFFFF"/>
            <w:vAlign w:val="center"/>
          </w:tcPr>
          <w:p w14:paraId="67AA1E7E">
            <w:pPr>
              <w:jc w:val="center"/>
              <w:rPr>
                <w:rFonts w:ascii="仿宋_GB2312" w:hAnsi="Times New Roman" w:eastAsia="仿宋_GB2312" w:cs="Times New Roman"/>
                <w:szCs w:val="21"/>
              </w:rPr>
            </w:pPr>
            <w:r>
              <w:rPr>
                <w:rFonts w:hint="eastAsia" w:ascii="仿宋_GB2312" w:hAnsi="Times New Roman" w:eastAsia="仿宋_GB2312" w:cs="Times New Roman"/>
                <w:szCs w:val="21"/>
              </w:rPr>
              <w:t>终本执行，抵押人破产</w:t>
            </w:r>
          </w:p>
        </w:tc>
      </w:tr>
      <w:tr w14:paraId="69BA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35" w:hRule="atLeast"/>
          <w:jc w:val="center"/>
        </w:trPr>
        <w:tc>
          <w:tcPr>
            <w:tcW w:w="265" w:type="pct"/>
            <w:shd w:val="clear" w:color="auto" w:fill="FFFFFF"/>
            <w:vAlign w:val="center"/>
          </w:tcPr>
          <w:p w14:paraId="7154B5F3">
            <w:pPr>
              <w:jc w:val="center"/>
              <w:rPr>
                <w:rFonts w:ascii="仿宋_GB2312" w:hAnsi="Times New Roman" w:eastAsia="仿宋_GB2312" w:cs="Times New Roman"/>
                <w:szCs w:val="21"/>
              </w:rPr>
            </w:pPr>
            <w:r>
              <w:rPr>
                <w:rFonts w:hint="eastAsia" w:ascii="仿宋_GB2312" w:hAnsi="Times New Roman" w:eastAsia="仿宋_GB2312" w:cs="Times New Roman"/>
                <w:szCs w:val="21"/>
              </w:rPr>
              <w:t>2</w:t>
            </w:r>
          </w:p>
        </w:tc>
        <w:tc>
          <w:tcPr>
            <w:tcW w:w="538" w:type="pct"/>
            <w:shd w:val="clear" w:color="auto" w:fill="FFFFFF"/>
            <w:vAlign w:val="center"/>
          </w:tcPr>
          <w:p w14:paraId="4CBBD6AE">
            <w:pPr>
              <w:jc w:val="center"/>
              <w:rPr>
                <w:rFonts w:ascii="仿宋_GB2312" w:hAnsi="Times New Roman" w:eastAsia="仿宋_GB2312" w:cs="Times New Roman"/>
                <w:szCs w:val="21"/>
              </w:rPr>
            </w:pPr>
            <w:r>
              <w:rPr>
                <w:rFonts w:hint="eastAsia" w:ascii="仿宋_GB2312" w:eastAsia="仿宋_GB2312"/>
              </w:rPr>
              <w:t>湛江市通宝贸易有限公司</w:t>
            </w:r>
          </w:p>
        </w:tc>
        <w:tc>
          <w:tcPr>
            <w:tcW w:w="1098" w:type="dxa"/>
            <w:shd w:val="clear" w:color="auto" w:fill="auto"/>
            <w:vAlign w:val="center"/>
          </w:tcPr>
          <w:p w14:paraId="64C70AEB">
            <w:pPr>
              <w:jc w:val="center"/>
              <w:rPr>
                <w:rFonts w:ascii="仿宋_GB2312" w:hAnsi="Times New Roman" w:eastAsia="仿宋_GB2312" w:cs="Times New Roman"/>
                <w:szCs w:val="21"/>
              </w:rPr>
            </w:pPr>
            <w:r>
              <w:rPr>
                <w:rFonts w:hint="eastAsia" w:ascii="仿宋_GB2312" w:hAnsi="等线" w:eastAsia="仿宋_GB2312"/>
                <w:color w:val="000000"/>
                <w:sz w:val="22"/>
              </w:rPr>
              <w:t>1,599.41</w:t>
            </w:r>
          </w:p>
        </w:tc>
        <w:tc>
          <w:tcPr>
            <w:tcW w:w="1205" w:type="dxa"/>
            <w:tcBorders>
              <w:top w:val="nil"/>
              <w:left w:val="single" w:color="auto" w:sz="4" w:space="0"/>
              <w:bottom w:val="single" w:color="auto" w:sz="4" w:space="0"/>
              <w:right w:val="single" w:color="auto" w:sz="4" w:space="0"/>
            </w:tcBorders>
            <w:shd w:val="clear" w:color="auto" w:fill="auto"/>
            <w:vAlign w:val="center"/>
          </w:tcPr>
          <w:p w14:paraId="2C989913">
            <w:pPr>
              <w:jc w:val="center"/>
              <w:rPr>
                <w:rFonts w:ascii="仿宋_GB2312" w:eastAsia="仿宋_GB2312"/>
              </w:rPr>
            </w:pPr>
            <w:r>
              <w:rPr>
                <w:rFonts w:hint="eastAsia" w:ascii="仿宋_GB2312" w:hAnsi="等线" w:eastAsia="仿宋_GB2312"/>
                <w:color w:val="000000"/>
                <w:sz w:val="22"/>
              </w:rPr>
              <w:t>5,852.47</w:t>
            </w:r>
          </w:p>
        </w:tc>
        <w:tc>
          <w:tcPr>
            <w:tcW w:w="1522" w:type="pct"/>
            <w:vMerge w:val="continue"/>
            <w:shd w:val="clear" w:color="auto" w:fill="FFFFFF"/>
            <w:vAlign w:val="center"/>
          </w:tcPr>
          <w:p w14:paraId="336F3068">
            <w:pPr>
              <w:jc w:val="center"/>
              <w:rPr>
                <w:rFonts w:ascii="仿宋_GB2312" w:hAnsi="Times New Roman" w:eastAsia="仿宋_GB2312" w:cs="Times New Roman"/>
                <w:szCs w:val="21"/>
              </w:rPr>
            </w:pPr>
          </w:p>
        </w:tc>
        <w:tc>
          <w:tcPr>
            <w:tcW w:w="815" w:type="pct"/>
            <w:shd w:val="clear" w:color="auto" w:fill="FFFFFF"/>
            <w:vAlign w:val="center"/>
          </w:tcPr>
          <w:p w14:paraId="4EBEA12B">
            <w:pPr>
              <w:jc w:val="center"/>
              <w:rPr>
                <w:rFonts w:ascii="仿宋_GB2312" w:hAnsi="Times New Roman" w:eastAsia="仿宋_GB2312" w:cs="Times New Roman"/>
                <w:szCs w:val="21"/>
              </w:rPr>
            </w:pPr>
            <w:r>
              <w:rPr>
                <w:rFonts w:hint="eastAsia" w:ascii="仿宋_GB2312" w:eastAsia="仿宋_GB2312"/>
              </w:rPr>
              <w:t>湛江市俊丞贸易有限公司、文星懿、文泓鉴、文泓铸、陈亚田、孙木庆</w:t>
            </w:r>
          </w:p>
        </w:tc>
        <w:tc>
          <w:tcPr>
            <w:tcW w:w="541" w:type="pct"/>
            <w:shd w:val="clear" w:color="auto" w:fill="FFFFFF"/>
            <w:vAlign w:val="center"/>
          </w:tcPr>
          <w:p w14:paraId="0708EE55">
            <w:pPr>
              <w:jc w:val="center"/>
              <w:rPr>
                <w:rFonts w:ascii="仿宋_GB2312" w:hAnsi="Times New Roman" w:eastAsia="仿宋_GB2312" w:cs="Times New Roman"/>
                <w:szCs w:val="21"/>
              </w:rPr>
            </w:pPr>
            <w:r>
              <w:rPr>
                <w:rFonts w:hint="eastAsia" w:ascii="仿宋_GB2312" w:hAnsi="Times New Roman" w:eastAsia="仿宋_GB2312" w:cs="Times New Roman"/>
                <w:szCs w:val="21"/>
              </w:rPr>
              <w:t>终本执行，抵押人破产</w:t>
            </w:r>
          </w:p>
        </w:tc>
      </w:tr>
      <w:tr w14:paraId="06A0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804" w:type="pct"/>
            <w:gridSpan w:val="2"/>
            <w:shd w:val="clear" w:color="auto" w:fill="FFFFFF"/>
            <w:vAlign w:val="center"/>
          </w:tcPr>
          <w:p w14:paraId="40809ED0">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合计</w:t>
            </w:r>
          </w:p>
        </w:tc>
        <w:tc>
          <w:tcPr>
            <w:tcW w:w="1098" w:type="dxa"/>
            <w:shd w:val="clear" w:color="auto" w:fill="FFFFFF"/>
            <w:vAlign w:val="center"/>
          </w:tcPr>
          <w:p w14:paraId="70AB771D">
            <w:pPr>
              <w:jc w:val="center"/>
              <w:rPr>
                <w:rFonts w:ascii="仿宋_GB2312" w:hAnsi="Times New Roman" w:eastAsia="仿宋_GB2312" w:cs="Times New Roman"/>
                <w:b/>
                <w:szCs w:val="21"/>
              </w:rPr>
            </w:pPr>
            <w:r>
              <w:rPr>
                <w:rFonts w:hint="eastAsia" w:ascii="仿宋_GB2312" w:hAnsi="Times New Roman" w:eastAsia="仿宋_GB2312" w:cs="Times New Roman"/>
                <w:b/>
                <w:kern w:val="0"/>
                <w:szCs w:val="21"/>
              </w:rPr>
              <w:t>7,048.24</w:t>
            </w:r>
          </w:p>
        </w:tc>
        <w:tc>
          <w:tcPr>
            <w:tcW w:w="1205" w:type="dxa"/>
            <w:shd w:val="clear" w:color="auto" w:fill="FFFFFF"/>
            <w:vAlign w:val="center"/>
          </w:tcPr>
          <w:p w14:paraId="5E3CD3B6">
            <w:pPr>
              <w:jc w:val="center"/>
              <w:rPr>
                <w:rFonts w:ascii="仿宋_GB2312" w:eastAsia="仿宋_GB2312"/>
                <w:b/>
                <w:bCs/>
              </w:rPr>
            </w:pPr>
            <w:r>
              <w:rPr>
                <w:rFonts w:ascii="仿宋_GB2312" w:hAnsi="Times New Roman" w:eastAsia="仿宋_GB2312" w:cs="Times New Roman"/>
                <w:b/>
                <w:kern w:val="0"/>
                <w:szCs w:val="21"/>
              </w:rPr>
              <w:t>25,841.13</w:t>
            </w:r>
          </w:p>
        </w:tc>
        <w:tc>
          <w:tcPr>
            <w:tcW w:w="1522" w:type="pct"/>
            <w:tcBorders>
              <w:top w:val="nil"/>
              <w:left w:val="single" w:color="auto" w:sz="4" w:space="0"/>
              <w:bottom w:val="single" w:color="auto" w:sz="4" w:space="0"/>
              <w:right w:val="single" w:color="auto" w:sz="4" w:space="0"/>
            </w:tcBorders>
            <w:shd w:val="clear" w:color="auto" w:fill="auto"/>
            <w:vAlign w:val="center"/>
          </w:tcPr>
          <w:p w14:paraId="7D0D33ED">
            <w:pPr>
              <w:jc w:val="center"/>
              <w:rPr>
                <w:rFonts w:ascii="仿宋_GB2312" w:hAnsi="Times New Roman" w:eastAsia="仿宋_GB2312" w:cs="Times New Roman"/>
                <w:b/>
                <w:szCs w:val="21"/>
              </w:rPr>
            </w:pPr>
          </w:p>
        </w:tc>
        <w:tc>
          <w:tcPr>
            <w:tcW w:w="815" w:type="pct"/>
            <w:shd w:val="clear" w:color="auto" w:fill="FFFFFF"/>
            <w:vAlign w:val="center"/>
          </w:tcPr>
          <w:p w14:paraId="5A406659">
            <w:pPr>
              <w:jc w:val="center"/>
              <w:rPr>
                <w:rFonts w:ascii="仿宋_GB2312" w:hAnsi="Times New Roman" w:eastAsia="仿宋_GB2312" w:cs="Times New Roman"/>
                <w:b/>
                <w:szCs w:val="21"/>
              </w:rPr>
            </w:pPr>
          </w:p>
        </w:tc>
        <w:tc>
          <w:tcPr>
            <w:tcW w:w="541" w:type="pct"/>
            <w:shd w:val="clear" w:color="auto" w:fill="FFFFFF"/>
            <w:vAlign w:val="center"/>
          </w:tcPr>
          <w:p w14:paraId="53A0DB1E">
            <w:pPr>
              <w:widowControl/>
              <w:jc w:val="center"/>
              <w:rPr>
                <w:rFonts w:ascii="仿宋_GB2312" w:hAnsi="Times New Roman" w:eastAsia="仿宋_GB2312" w:cs="Times New Roman"/>
                <w:b/>
                <w:szCs w:val="21"/>
              </w:rPr>
            </w:pPr>
          </w:p>
        </w:tc>
      </w:tr>
    </w:tbl>
    <w:p w14:paraId="19EA3795">
      <w:pPr>
        <w:spacing w:line="360" w:lineRule="auto"/>
        <w:ind w:firstLine="640" w:firstLineChars="200"/>
        <w:rPr>
          <w:rFonts w:ascii="仿宋_GB2312" w:hAnsi="仿宋" w:eastAsia="仿宋_GB2312"/>
          <w:sz w:val="32"/>
          <w:szCs w:val="32"/>
        </w:rPr>
      </w:pPr>
    </w:p>
    <w:p w14:paraId="1FF184AD">
      <w:pPr>
        <w:rPr>
          <w:rFonts w:ascii="黑体" w:hAnsi="黑体" w:eastAsia="黑体"/>
          <w:b/>
          <w:bCs/>
          <w:sz w:val="32"/>
          <w:szCs w:val="32"/>
        </w:rPr>
      </w:pPr>
      <w:r>
        <w:rPr>
          <w:rFonts w:hint="eastAsia" w:ascii="黑体" w:hAnsi="黑体" w:eastAsia="黑体"/>
          <w:b/>
          <w:bCs/>
          <w:sz w:val="32"/>
          <w:szCs w:val="32"/>
        </w:rPr>
        <w:t>二、资产介绍</w:t>
      </w:r>
    </w:p>
    <w:p w14:paraId="577B2BD2">
      <w:pPr>
        <w:ind w:firstLine="640" w:firstLineChars="200"/>
        <w:rPr>
          <w:rFonts w:ascii="仿宋_GB2312" w:hAnsi="仿宋" w:eastAsia="仿宋_GB2312" w:cs="Times New Roman"/>
          <w:bCs/>
          <w:kern w:val="0"/>
          <w:sz w:val="32"/>
          <w:szCs w:val="32"/>
        </w:rPr>
      </w:pPr>
      <w:r>
        <w:rPr>
          <w:rFonts w:hint="eastAsia" w:ascii="仿宋_GB2312" w:hAnsi="仿宋" w:eastAsia="仿宋_GB2312" w:cs="Times New Roman"/>
          <w:bCs/>
          <w:kern w:val="0"/>
          <w:sz w:val="32"/>
          <w:szCs w:val="32"/>
        </w:rPr>
        <w:t>本项目债权抵押物为位于湛江市坡头区鸡咀山公路北侧的商住用地使用权（面积为44,035.43平方米）及地上的楼房1幢（建基面积579.32平方米,建筑面积3,995.30平方米），属于俊丞公司开发的“仁海花园”小区项目中的一部分（“仁海花园”总规划用地面积231,288平方米，涉及13宗土地使用权，本项目债权为其中之一）。</w:t>
      </w:r>
    </w:p>
    <w:p w14:paraId="211643E3">
      <w:pPr>
        <w:ind w:firstLine="640" w:firstLineChars="200"/>
        <w:rPr>
          <w:rFonts w:ascii="仿宋_GB2312" w:hAnsi="仿宋" w:eastAsia="仿宋_GB2312" w:cs="Times New Roman"/>
          <w:bCs/>
          <w:kern w:val="0"/>
          <w:sz w:val="32"/>
          <w:szCs w:val="32"/>
        </w:rPr>
      </w:pPr>
      <w:r>
        <w:rPr>
          <w:rFonts w:hint="eastAsia" w:ascii="仿宋_GB2312" w:hAnsi="仿宋" w:eastAsia="仿宋_GB2312" w:cs="Times New Roman"/>
          <w:bCs/>
          <w:kern w:val="0"/>
          <w:sz w:val="32"/>
          <w:szCs w:val="32"/>
        </w:rPr>
        <w:t>抵押土地位于湛江市坡头区鸡咀山公路北侧，周边多为商住区,区域繁华度较高。距离湛江西站约21公里，汕湛高速入口约4.5公里,区域内有海川快线、海东快线等主干道，道路通达度较高，公用设施较完善。土地开发程度达宗地外五通，地势平坦，宗地地基承载力适宜，宗地内土地平整。</w:t>
      </w:r>
    </w:p>
    <w:p w14:paraId="6C40A67C">
      <w:pPr>
        <w:ind w:firstLine="640" w:firstLineChars="200"/>
        <w:rPr>
          <w:rFonts w:ascii="仿宋_GB2312" w:hAnsi="仿宋" w:eastAsia="仿宋_GB2312" w:cs="Times New Roman"/>
          <w:bCs/>
          <w:kern w:val="0"/>
          <w:sz w:val="32"/>
          <w:szCs w:val="32"/>
        </w:rPr>
      </w:pPr>
      <w:r>
        <w:rPr>
          <w:rFonts w:hint="eastAsia" w:ascii="仿宋_GB2312" w:hAnsi="仿宋" w:eastAsia="仿宋_GB2312" w:cs="Times New Roman"/>
          <w:bCs/>
          <w:kern w:val="0"/>
          <w:sz w:val="32"/>
          <w:szCs w:val="32"/>
        </w:rPr>
        <w:t>抵押房产为混合结构6层商住楼，实际用途为商住用途，外墙为马赛克；公共部分内墙刷乳胶漆，水泥地面；门窗分别为铁门、木板门、铝合金窗、铁窗等；安装水电设施、消防设施齐备；整体成新度一般。</w:t>
      </w:r>
    </w:p>
    <w:p w14:paraId="398CC061">
      <w:pPr>
        <w:pStyle w:val="10"/>
        <w:widowControl/>
        <w:spacing w:line="360" w:lineRule="atLeast"/>
        <w:ind w:firstLine="0" w:firstLineChars="0"/>
        <w:rPr>
          <w:rFonts w:ascii="黑体" w:hAnsi="黑体" w:eastAsia="黑体" w:cstheme="minorBidi"/>
          <w:b/>
          <w:bCs/>
          <w:sz w:val="32"/>
          <w:szCs w:val="32"/>
        </w:rPr>
      </w:pPr>
      <w:r>
        <w:rPr>
          <w:rFonts w:hint="eastAsia" w:ascii="黑体" w:hAnsi="黑体" w:eastAsia="黑体" w:cstheme="minorBidi"/>
          <w:b/>
          <w:bCs/>
          <w:sz w:val="32"/>
          <w:szCs w:val="32"/>
        </w:rPr>
        <w:t>三、主要抵押物及周边照片</w:t>
      </w:r>
    </w:p>
    <w:p w14:paraId="1A8293F2">
      <w:pPr>
        <w:ind w:firstLine="640"/>
        <w:rPr>
          <w:rFonts w:ascii="仿宋_GB2312" w:hAnsi="Times New Roman" w:eastAsia="仿宋_GB2312" w:cs="Times New Roman"/>
          <w:sz w:val="28"/>
          <w:szCs w:val="28"/>
        </w:rPr>
      </w:pPr>
      <w:r>
        <w:rPr>
          <w:rFonts w:hint="eastAsia" w:ascii="仿宋_GB2312" w:hAnsi="Times New Roman" w:eastAsia="仿宋_GB2312" w:cs="Times New Roman"/>
          <w:sz w:val="28"/>
          <w:szCs w:val="28"/>
        </w:rPr>
        <w:t>抵押物方位及现场情况如下：</w:t>
      </w:r>
    </w:p>
    <w:tbl>
      <w:tblPr>
        <w:tblStyle w:val="43"/>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4233"/>
        <w:gridCol w:w="4233"/>
      </w:tblGrid>
      <w:tr w14:paraId="0DC7544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402" w:hRule="atLeast"/>
        </w:trPr>
        <w:tc>
          <w:tcPr>
            <w:tcW w:w="8412" w:type="dxa"/>
            <w:gridSpan w:val="2"/>
          </w:tcPr>
          <w:p w14:paraId="2F7CD936">
            <w:pPr>
              <w:rPr>
                <w:rFonts w:ascii="仿宋_GB2312" w:eastAsia="仿宋_GB2312"/>
                <w:sz w:val="28"/>
                <w:szCs w:val="28"/>
              </w:rPr>
            </w:pPr>
            <w:r>
              <w:rPr>
                <w:rFonts w:hint="eastAsia" w:ascii="仿宋_GB2312" w:eastAsia="仿宋_GB2312"/>
                <w:sz w:val="28"/>
                <w:szCs w:val="28"/>
              </w:rPr>
              <w:t>仁海花园区位图</w:t>
            </w:r>
          </w:p>
        </w:tc>
      </w:tr>
      <w:tr w14:paraId="1BA4637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8412" w:type="dxa"/>
            <w:gridSpan w:val="2"/>
          </w:tcPr>
          <w:p w14:paraId="2C728067">
            <w:pPr>
              <w:rPr>
                <w:rFonts w:ascii="仿宋_GB2312" w:eastAsia="仿宋_GB2312"/>
                <w:sz w:val="28"/>
                <w:szCs w:val="28"/>
              </w:rPr>
            </w:pPr>
            <w:r>
              <w:rPr>
                <w:rFonts w:hint="eastAsia" w:ascii="仿宋_GB2312" w:eastAsia="仿宋_GB2312"/>
                <w:sz w:val="28"/>
                <w:szCs w:val="28"/>
              </w:rPr>
              <w:drawing>
                <wp:inline distT="0" distB="0" distL="0" distR="0">
                  <wp:extent cx="5133975" cy="2319020"/>
                  <wp:effectExtent l="0" t="0" r="9525"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cstate="screen"/>
                          <a:stretch>
                            <a:fillRect/>
                          </a:stretch>
                        </pic:blipFill>
                        <pic:spPr>
                          <a:xfrm>
                            <a:off x="0" y="0"/>
                            <a:ext cx="5137996" cy="2319020"/>
                          </a:xfrm>
                          <a:prstGeom prst="rect">
                            <a:avLst/>
                          </a:prstGeom>
                        </pic:spPr>
                      </pic:pic>
                    </a:graphicData>
                  </a:graphic>
                </wp:inline>
              </w:drawing>
            </w:r>
          </w:p>
        </w:tc>
      </w:tr>
      <w:tr w14:paraId="4D6A7A1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8412" w:type="dxa"/>
            <w:gridSpan w:val="2"/>
          </w:tcPr>
          <w:p w14:paraId="59452753">
            <w:pPr>
              <w:rPr>
                <w:rFonts w:ascii="仿宋_GB2312" w:eastAsia="仿宋_GB2312"/>
                <w:sz w:val="28"/>
                <w:szCs w:val="28"/>
              </w:rPr>
            </w:pPr>
            <w:r>
              <w:rPr>
                <w:rFonts w:hint="eastAsia" w:ascii="仿宋_GB2312" w:eastAsia="仿宋_GB2312"/>
                <w:sz w:val="28"/>
                <w:szCs w:val="28"/>
              </w:rPr>
              <w:t>仁海花园俯视图</w:t>
            </w:r>
          </w:p>
        </w:tc>
      </w:tr>
      <w:tr w14:paraId="513512A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8412" w:type="dxa"/>
            <w:gridSpan w:val="2"/>
          </w:tcPr>
          <w:p w14:paraId="3B4ECD65">
            <w:pPr>
              <w:rPr>
                <w:rFonts w:ascii="仿宋_GB2312" w:eastAsia="仿宋_GB2312"/>
                <w:sz w:val="28"/>
                <w:szCs w:val="28"/>
              </w:rPr>
            </w:pPr>
            <w:r>
              <w:rPr>
                <w:rFonts w:hint="eastAsia" w:ascii="仿宋_GB2312"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2022475</wp:posOffset>
                      </wp:positionH>
                      <wp:positionV relativeFrom="paragraph">
                        <wp:posOffset>2786380</wp:posOffset>
                      </wp:positionV>
                      <wp:extent cx="758190" cy="588010"/>
                      <wp:effectExtent l="0" t="87630" r="30480" b="105410"/>
                      <wp:wrapNone/>
                      <wp:docPr id="8" name="任意多边形 8"/>
                      <wp:cNvGraphicFramePr/>
                      <a:graphic xmlns:a="http://schemas.openxmlformats.org/drawingml/2006/main">
                        <a:graphicData uri="http://schemas.microsoft.com/office/word/2010/wordprocessingShape">
                          <wps:wsp>
                            <wps:cNvSpPr/>
                            <wps:spPr>
                              <a:xfrm rot="1301643">
                                <a:off x="0" y="0"/>
                                <a:ext cx="758400" cy="588196"/>
                              </a:xfrm>
                              <a:custGeom>
                                <a:avLst/>
                                <a:gdLst>
                                  <a:gd name="connsiteX0" fmla="*/ 0 w 3362325"/>
                                  <a:gd name="connsiteY0" fmla="*/ 214312 h 2609850"/>
                                  <a:gd name="connsiteX1" fmla="*/ 738187 w 3362325"/>
                                  <a:gd name="connsiteY1" fmla="*/ 2076450 h 2609850"/>
                                  <a:gd name="connsiteX2" fmla="*/ 752475 w 3362325"/>
                                  <a:gd name="connsiteY2" fmla="*/ 2595562 h 2609850"/>
                                  <a:gd name="connsiteX3" fmla="*/ 2847975 w 3362325"/>
                                  <a:gd name="connsiteY3" fmla="*/ 2609850 h 2609850"/>
                                  <a:gd name="connsiteX4" fmla="*/ 2857500 w 3362325"/>
                                  <a:gd name="connsiteY4" fmla="*/ 2214562 h 2609850"/>
                                  <a:gd name="connsiteX5" fmla="*/ 3333750 w 3362325"/>
                                  <a:gd name="connsiteY5" fmla="*/ 2205037 h 2609850"/>
                                  <a:gd name="connsiteX6" fmla="*/ 3362325 w 3362325"/>
                                  <a:gd name="connsiteY6" fmla="*/ 938212 h 2609850"/>
                                  <a:gd name="connsiteX7" fmla="*/ 2790825 w 3362325"/>
                                  <a:gd name="connsiteY7" fmla="*/ 990600 h 2609850"/>
                                  <a:gd name="connsiteX8" fmla="*/ 2714625 w 3362325"/>
                                  <a:gd name="connsiteY8" fmla="*/ 352425 h 2609850"/>
                                  <a:gd name="connsiteX9" fmla="*/ 2566987 w 3362325"/>
                                  <a:gd name="connsiteY9" fmla="*/ 266700 h 2609850"/>
                                  <a:gd name="connsiteX10" fmla="*/ 2705100 w 3362325"/>
                                  <a:gd name="connsiteY10" fmla="*/ 0 h 2609850"/>
                                  <a:gd name="connsiteX11" fmla="*/ 0 w 3362325"/>
                                  <a:gd name="connsiteY11" fmla="*/ 214312 h 260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362325" h="2609850">
                                    <a:moveTo>
                                      <a:pt x="0" y="214312"/>
                                    </a:moveTo>
                                    <a:lnTo>
                                      <a:pt x="738187" y="2076450"/>
                                    </a:lnTo>
                                    <a:lnTo>
                                      <a:pt x="752475" y="2595562"/>
                                    </a:lnTo>
                                    <a:lnTo>
                                      <a:pt x="2847975" y="2609850"/>
                                    </a:lnTo>
                                    <a:lnTo>
                                      <a:pt x="2857500" y="2214562"/>
                                    </a:lnTo>
                                    <a:lnTo>
                                      <a:pt x="3333750" y="2205037"/>
                                    </a:lnTo>
                                    <a:lnTo>
                                      <a:pt x="3362325" y="938212"/>
                                    </a:lnTo>
                                    <a:lnTo>
                                      <a:pt x="2790825" y="990600"/>
                                    </a:lnTo>
                                    <a:lnTo>
                                      <a:pt x="2714625" y="352425"/>
                                    </a:lnTo>
                                    <a:lnTo>
                                      <a:pt x="2566987" y="266700"/>
                                    </a:lnTo>
                                    <a:lnTo>
                                      <a:pt x="2705100" y="0"/>
                                    </a:lnTo>
                                    <a:lnTo>
                                      <a:pt x="0" y="214312"/>
                                    </a:lnTo>
                                    <a:close/>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59.25pt;margin-top:219.4pt;height:46.3pt;width:59.7pt;rotation:1421741f;z-index:251659264;v-text-anchor:middle;mso-width-relative:page;mso-height-relative:page;" filled="f" stroked="t" coordsize="3362325,2609850" o:gfxdata="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" path="m0,214312l738187,2076450,752475,2595562,2847975,2609850,2857500,2214562,3333750,2205037,3362325,938212,2790825,990600,2714625,352425,2566987,266700,2705100,0,0,214312xe">
                      <v:path o:connectlocs="0,48300;166504,467980;169726,584975;642384,588196;644532,499107;751954,496961;758400,211449;629493,223256;612305,79427;579004,60107;610157,0;0,48300" o:connectangles="0,0,0,0,0,0,0,0,0,0,0,0"/>
                      <v:fill on="f" focussize="0,0"/>
                      <v:stroke weight="1.5pt" color="#FF0000 [3204]" miterlimit="8" joinstyle="miter"/>
                      <v:imagedata o:title=""/>
                      <o:lock v:ext="edit" aspectratio="f"/>
                    </v:shape>
                  </w:pict>
                </mc:Fallback>
              </mc:AlternateContent>
            </w:r>
            <w:r>
              <w:rPr>
                <w:rFonts w:hint="eastAsia" w:ascii="仿宋_GB2312" w:eastAsia="仿宋_GB2312"/>
                <w:sz w:val="28"/>
                <w:szCs w:val="28"/>
              </w:rPr>
              <w:drawing>
                <wp:inline distT="0" distB="0" distL="0" distR="0">
                  <wp:extent cx="5128260" cy="3619500"/>
                  <wp:effectExtent l="0" t="0" r="152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cstate="screen"/>
                          <a:stretch>
                            <a:fillRect/>
                          </a:stretch>
                        </pic:blipFill>
                        <pic:spPr>
                          <a:xfrm>
                            <a:off x="0" y="0"/>
                            <a:ext cx="5132451" cy="3622253"/>
                          </a:xfrm>
                          <a:prstGeom prst="rect">
                            <a:avLst/>
                          </a:prstGeom>
                        </pic:spPr>
                      </pic:pic>
                    </a:graphicData>
                  </a:graphic>
                </wp:inline>
              </w:drawing>
            </w:r>
          </w:p>
        </w:tc>
      </w:tr>
      <w:tr w14:paraId="2702967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8412" w:type="dxa"/>
            <w:gridSpan w:val="2"/>
          </w:tcPr>
          <w:p w14:paraId="74E60CBB">
            <w:pPr>
              <w:rPr>
                <w:rFonts w:ascii="仿宋_GB2312" w:eastAsia="仿宋_GB2312"/>
                <w:sz w:val="28"/>
                <w:szCs w:val="28"/>
              </w:rPr>
            </w:pPr>
            <w:r>
              <w:rPr>
                <w:rFonts w:hint="eastAsia"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318770</wp:posOffset>
                      </wp:positionH>
                      <wp:positionV relativeFrom="paragraph">
                        <wp:posOffset>890270</wp:posOffset>
                      </wp:positionV>
                      <wp:extent cx="3276600" cy="2493010"/>
                      <wp:effectExtent l="20320" t="16510" r="17780" b="24130"/>
                      <wp:wrapNone/>
                      <wp:docPr id="13" name="任意多边形 13"/>
                      <wp:cNvGraphicFramePr/>
                      <a:graphic xmlns:a="http://schemas.openxmlformats.org/drawingml/2006/main">
                        <a:graphicData uri="http://schemas.microsoft.com/office/word/2010/wordprocessingShape">
                          <wps:wsp>
                            <wps:cNvSpPr/>
                            <wps:spPr>
                              <a:xfrm>
                                <a:off x="0" y="0"/>
                                <a:ext cx="3276600" cy="2493010"/>
                              </a:xfrm>
                              <a:custGeom>
                                <a:avLst/>
                                <a:gdLst>
                                  <a:gd name="connsiteX0" fmla="*/ 0 w 3362325"/>
                                  <a:gd name="connsiteY0" fmla="*/ 214312 h 2609850"/>
                                  <a:gd name="connsiteX1" fmla="*/ 738187 w 3362325"/>
                                  <a:gd name="connsiteY1" fmla="*/ 2076450 h 2609850"/>
                                  <a:gd name="connsiteX2" fmla="*/ 752475 w 3362325"/>
                                  <a:gd name="connsiteY2" fmla="*/ 2595562 h 2609850"/>
                                  <a:gd name="connsiteX3" fmla="*/ 2847975 w 3362325"/>
                                  <a:gd name="connsiteY3" fmla="*/ 2609850 h 2609850"/>
                                  <a:gd name="connsiteX4" fmla="*/ 2857500 w 3362325"/>
                                  <a:gd name="connsiteY4" fmla="*/ 2214562 h 2609850"/>
                                  <a:gd name="connsiteX5" fmla="*/ 3333750 w 3362325"/>
                                  <a:gd name="connsiteY5" fmla="*/ 2205037 h 2609850"/>
                                  <a:gd name="connsiteX6" fmla="*/ 3362325 w 3362325"/>
                                  <a:gd name="connsiteY6" fmla="*/ 938212 h 2609850"/>
                                  <a:gd name="connsiteX7" fmla="*/ 2790825 w 3362325"/>
                                  <a:gd name="connsiteY7" fmla="*/ 990600 h 2609850"/>
                                  <a:gd name="connsiteX8" fmla="*/ 2714625 w 3362325"/>
                                  <a:gd name="connsiteY8" fmla="*/ 352425 h 2609850"/>
                                  <a:gd name="connsiteX9" fmla="*/ 2566987 w 3362325"/>
                                  <a:gd name="connsiteY9" fmla="*/ 266700 h 2609850"/>
                                  <a:gd name="connsiteX10" fmla="*/ 2705100 w 3362325"/>
                                  <a:gd name="connsiteY10" fmla="*/ 0 h 2609850"/>
                                  <a:gd name="connsiteX11" fmla="*/ 0 w 3362325"/>
                                  <a:gd name="connsiteY11" fmla="*/ 214312 h 260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362325" h="2609850">
                                    <a:moveTo>
                                      <a:pt x="0" y="214312"/>
                                    </a:moveTo>
                                    <a:lnTo>
                                      <a:pt x="738187" y="2076450"/>
                                    </a:lnTo>
                                    <a:lnTo>
                                      <a:pt x="752475" y="2595562"/>
                                    </a:lnTo>
                                    <a:lnTo>
                                      <a:pt x="2847975" y="2609850"/>
                                    </a:lnTo>
                                    <a:lnTo>
                                      <a:pt x="2857500" y="2214562"/>
                                    </a:lnTo>
                                    <a:lnTo>
                                      <a:pt x="3333750" y="2205037"/>
                                    </a:lnTo>
                                    <a:lnTo>
                                      <a:pt x="3362325" y="938212"/>
                                    </a:lnTo>
                                    <a:lnTo>
                                      <a:pt x="2790825" y="990600"/>
                                    </a:lnTo>
                                    <a:lnTo>
                                      <a:pt x="2714625" y="352425"/>
                                    </a:lnTo>
                                    <a:lnTo>
                                      <a:pt x="2566987" y="266700"/>
                                    </a:lnTo>
                                    <a:lnTo>
                                      <a:pt x="2705100" y="0"/>
                                    </a:lnTo>
                                    <a:lnTo>
                                      <a:pt x="0" y="214312"/>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25.1pt;margin-top:70.1pt;height:196.3pt;width:258pt;z-index:251660288;v-text-anchor:middle;mso-width-relative:page;mso-height-relative:page;" filled="f" stroked="t" coordsize="3362325,2609850" o:gfxdata="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" path="m0,214312l738187,2076450,752475,2595562,2847975,2609850,2857500,2214562,3333750,2205037,3362325,938212,2790825,990600,2714625,352425,2566987,266700,2705100,0,0,214312xe">
                      <v:path o:connectlocs="0,204717;719366,1983489;733290,2479361;2775363,2493010;2784645,2115418;3248753,2106320;3276600,896209;2719670,946251;2645413,336647;2501539,254760;2636131,0;0,204717" o:connectangles="0,0,0,0,0,0,0,0,0,0,0,0"/>
                      <v:fill on="f" focussize="0,0"/>
                      <v:stroke weight="2.25pt" color="#FF0000 [3204]" miterlimit="8" joinstyle="miter"/>
                      <v:imagedata o:title=""/>
                      <o:lock v:ext="edit" aspectratio="f"/>
                    </v:shape>
                  </w:pict>
                </mc:Fallback>
              </mc:AlternateContent>
            </w:r>
            <w:r>
              <w:rPr>
                <w:rFonts w:hint="eastAsia" w:ascii="仿宋_GB2312" w:eastAsia="仿宋_GB2312"/>
                <w:sz w:val="28"/>
                <w:szCs w:val="28"/>
              </w:rPr>
              <w:drawing>
                <wp:inline distT="0" distB="0" distL="0" distR="0">
                  <wp:extent cx="5128260" cy="3695700"/>
                  <wp:effectExtent l="0" t="0" r="152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5129512" cy="3696756"/>
                          </a:xfrm>
                          <a:prstGeom prst="rect">
                            <a:avLst/>
                          </a:prstGeom>
                        </pic:spPr>
                      </pic:pic>
                    </a:graphicData>
                  </a:graphic>
                </wp:inline>
              </w:drawing>
            </w:r>
          </w:p>
        </w:tc>
      </w:tr>
      <w:tr w14:paraId="04EACE2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206" w:type="dxa"/>
          </w:tcPr>
          <w:p w14:paraId="1CCB4372">
            <w:pPr>
              <w:rPr>
                <w:rFonts w:ascii="仿宋_GB2312" w:eastAsia="仿宋_GB2312"/>
                <w:sz w:val="28"/>
                <w:szCs w:val="28"/>
              </w:rPr>
            </w:pPr>
            <w:r>
              <w:rPr>
                <w:rFonts w:hint="eastAsia" w:ascii="仿宋_GB2312" w:eastAsia="仿宋_GB2312"/>
                <w:sz w:val="28"/>
                <w:szCs w:val="28"/>
              </w:rPr>
              <w:drawing>
                <wp:inline distT="0" distB="0" distL="0" distR="0">
                  <wp:extent cx="2519680" cy="1889760"/>
                  <wp:effectExtent l="0" t="0" r="13970" b="152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7" cstate="screen"/>
                          <a:stretch>
                            <a:fillRect/>
                          </a:stretch>
                        </pic:blipFill>
                        <pic:spPr>
                          <a:xfrm>
                            <a:off x="0" y="0"/>
                            <a:ext cx="2520000" cy="1890000"/>
                          </a:xfrm>
                          <a:prstGeom prst="rect">
                            <a:avLst/>
                          </a:prstGeom>
                          <a:noFill/>
                          <a:ln>
                            <a:noFill/>
                          </a:ln>
                        </pic:spPr>
                      </pic:pic>
                    </a:graphicData>
                  </a:graphic>
                </wp:inline>
              </w:drawing>
            </w:r>
          </w:p>
        </w:tc>
        <w:tc>
          <w:tcPr>
            <w:tcW w:w="4206" w:type="dxa"/>
          </w:tcPr>
          <w:p w14:paraId="706E7681">
            <w:pPr>
              <w:rPr>
                <w:rFonts w:ascii="仿宋_GB2312" w:eastAsia="仿宋_GB2312"/>
                <w:sz w:val="28"/>
                <w:szCs w:val="28"/>
              </w:rPr>
            </w:pPr>
            <w:r>
              <w:rPr>
                <w:rFonts w:hint="eastAsia" w:ascii="仿宋_GB2312" w:eastAsia="仿宋_GB2312"/>
                <w:sz w:val="28"/>
                <w:szCs w:val="28"/>
              </w:rPr>
              <w:drawing>
                <wp:inline distT="0" distB="0" distL="0" distR="0">
                  <wp:extent cx="2519680" cy="1889760"/>
                  <wp:effectExtent l="0" t="0" r="13970" b="152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8" cstate="screen"/>
                          <a:stretch>
                            <a:fillRect/>
                          </a:stretch>
                        </pic:blipFill>
                        <pic:spPr>
                          <a:xfrm>
                            <a:off x="0" y="0"/>
                            <a:ext cx="2519680" cy="1889760"/>
                          </a:xfrm>
                          <a:prstGeom prst="rect">
                            <a:avLst/>
                          </a:prstGeom>
                          <a:noFill/>
                          <a:ln>
                            <a:noFill/>
                          </a:ln>
                        </pic:spPr>
                      </pic:pic>
                    </a:graphicData>
                  </a:graphic>
                </wp:inline>
              </w:drawing>
            </w:r>
          </w:p>
        </w:tc>
      </w:tr>
      <w:tr w14:paraId="7FA9614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206" w:type="dxa"/>
          </w:tcPr>
          <w:p w14:paraId="3E6E1B3C">
            <w:pPr>
              <w:rPr>
                <w:rFonts w:ascii="仿宋_GB2312" w:eastAsia="仿宋_GB2312"/>
                <w:sz w:val="28"/>
                <w:szCs w:val="28"/>
              </w:rPr>
            </w:pPr>
            <w:r>
              <w:rPr>
                <w:rFonts w:hint="eastAsia" w:ascii="仿宋_GB2312" w:eastAsia="仿宋_GB2312"/>
                <w:sz w:val="28"/>
                <w:szCs w:val="28"/>
              </w:rPr>
              <w:drawing>
                <wp:inline distT="0" distB="0" distL="0" distR="0">
                  <wp:extent cx="2519680" cy="1889760"/>
                  <wp:effectExtent l="0" t="0" r="13970" b="152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0" cy="1890000"/>
                          </a:xfrm>
                          <a:prstGeom prst="rect">
                            <a:avLst/>
                          </a:prstGeom>
                          <a:noFill/>
                          <a:ln>
                            <a:noFill/>
                          </a:ln>
                        </pic:spPr>
                      </pic:pic>
                    </a:graphicData>
                  </a:graphic>
                </wp:inline>
              </w:drawing>
            </w:r>
          </w:p>
        </w:tc>
        <w:tc>
          <w:tcPr>
            <w:tcW w:w="4206" w:type="dxa"/>
          </w:tcPr>
          <w:p w14:paraId="55653FE9">
            <w:pPr>
              <w:rPr>
                <w:rFonts w:ascii="仿宋_GB2312" w:eastAsia="仿宋_GB2312"/>
                <w:sz w:val="28"/>
                <w:szCs w:val="28"/>
              </w:rPr>
            </w:pPr>
            <w:r>
              <w:rPr>
                <w:rFonts w:hint="eastAsia" w:ascii="仿宋_GB2312" w:eastAsia="仿宋_GB2312"/>
                <w:sz w:val="28"/>
                <w:szCs w:val="28"/>
              </w:rPr>
              <w:drawing>
                <wp:inline distT="0" distB="0" distL="0" distR="0">
                  <wp:extent cx="2514600" cy="18859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5008" cy="1886256"/>
                          </a:xfrm>
                          <a:prstGeom prst="rect">
                            <a:avLst/>
                          </a:prstGeom>
                          <a:noFill/>
                          <a:ln>
                            <a:noFill/>
                          </a:ln>
                        </pic:spPr>
                      </pic:pic>
                    </a:graphicData>
                  </a:graphic>
                </wp:inline>
              </w:drawing>
            </w:r>
          </w:p>
        </w:tc>
      </w:tr>
      <w:tr w14:paraId="5BB6B20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8412" w:type="dxa"/>
            <w:gridSpan w:val="2"/>
          </w:tcPr>
          <w:p w14:paraId="7C73C144">
            <w:pPr>
              <w:rPr>
                <w:rFonts w:ascii="仿宋_GB2312" w:eastAsia="仿宋_GB2312"/>
                <w:sz w:val="28"/>
                <w:szCs w:val="28"/>
              </w:rPr>
            </w:pPr>
            <w:r>
              <w:drawing>
                <wp:inline distT="0" distB="0" distL="0" distR="0">
                  <wp:extent cx="5135245" cy="2287905"/>
                  <wp:effectExtent l="0" t="0" r="8255" b="171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
                          <a:stretch>
                            <a:fillRect/>
                          </a:stretch>
                        </pic:blipFill>
                        <pic:spPr>
                          <a:xfrm>
                            <a:off x="0" y="0"/>
                            <a:ext cx="5137435" cy="2287905"/>
                          </a:xfrm>
                          <a:prstGeom prst="rect">
                            <a:avLst/>
                          </a:prstGeom>
                        </pic:spPr>
                      </pic:pic>
                    </a:graphicData>
                  </a:graphic>
                </wp:inline>
              </w:drawing>
            </w:r>
          </w:p>
        </w:tc>
      </w:tr>
      <w:tr w14:paraId="0EC742F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8412" w:type="dxa"/>
            <w:gridSpan w:val="2"/>
          </w:tcPr>
          <w:p w14:paraId="08C071C1">
            <w:r>
              <w:rPr>
                <w:rFonts w:hint="eastAsia" w:ascii="仿宋_GB2312" w:eastAsia="仿宋_GB2312"/>
                <w:sz w:val="28"/>
                <w:szCs w:val="28"/>
              </w:rPr>
              <w:drawing>
                <wp:inline distT="0" distB="0" distL="0" distR="0">
                  <wp:extent cx="5226050" cy="2261870"/>
                  <wp:effectExtent l="0" t="0" r="1270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26050" cy="2261870"/>
                          </a:xfrm>
                          <a:prstGeom prst="rect">
                            <a:avLst/>
                          </a:prstGeom>
                          <a:noFill/>
                          <a:ln>
                            <a:noFill/>
                          </a:ln>
                        </pic:spPr>
                      </pic:pic>
                    </a:graphicData>
                  </a:graphic>
                </wp:inline>
              </w:drawing>
            </w:r>
          </w:p>
        </w:tc>
      </w:tr>
    </w:tbl>
    <w:p w14:paraId="2255C0FD">
      <w:pPr>
        <w:pStyle w:val="10"/>
        <w:widowControl/>
        <w:spacing w:line="360" w:lineRule="atLeast"/>
        <w:ind w:firstLine="803"/>
        <w:rPr>
          <w:rFonts w:ascii="仿宋_GB2312" w:hAnsi="仿宋" w:eastAsia="仿宋_GB2312" w:cs="仿宋"/>
          <w:sz w:val="32"/>
          <w:szCs w:val="32"/>
        </w:rPr>
      </w:pPr>
      <w:r>
        <w:rPr>
          <w:rFonts w:hint="eastAsia" w:ascii="仿宋_GB2312" w:hAnsi="仿宋" w:eastAsia="仿宋_GB2312" w:cs="仿宋"/>
          <w:b/>
          <w:bCs/>
          <w:color w:val="000000"/>
          <w:sz w:val="32"/>
          <w:szCs w:val="32"/>
        </w:rPr>
        <w:t>注：</w:t>
      </w:r>
      <w:r>
        <w:rPr>
          <w:rFonts w:hint="eastAsia" w:ascii="仿宋_GB2312" w:hAnsi="仿宋" w:eastAsia="仿宋_GB2312" w:cs="仿宋"/>
          <w:color w:val="000000"/>
          <w:sz w:val="32"/>
          <w:szCs w:val="32"/>
        </w:rPr>
        <w:t>1.本清单仅列示截至【202</w:t>
      </w:r>
      <w:r>
        <w:rPr>
          <w:rFonts w:hint="eastAsia" w:ascii="仿宋_GB2312" w:hAnsi="仿宋" w:eastAsia="仿宋_GB2312" w:cs="仿宋"/>
          <w:color w:val="000000"/>
          <w:sz w:val="32"/>
          <w:szCs w:val="32"/>
          <w:lang w:val="en-US" w:eastAsia="zh-CN"/>
        </w:rPr>
        <w:t>6</w:t>
      </w:r>
      <w:r>
        <w:rPr>
          <w:rFonts w:hint="eastAsia" w:ascii="仿宋_GB2312" w:hAnsi="仿宋" w:eastAsia="仿宋_GB2312" w:cs="仿宋"/>
          <w:color w:val="000000"/>
          <w:sz w:val="32"/>
          <w:szCs w:val="32"/>
        </w:rPr>
        <w:t>】年【</w:t>
      </w:r>
      <w:r>
        <w:rPr>
          <w:rFonts w:hint="eastAsia" w:ascii="仿宋_GB2312" w:hAnsi="仿宋" w:eastAsia="仿宋_GB2312" w:cs="仿宋"/>
          <w:color w:val="000000"/>
          <w:sz w:val="32"/>
          <w:szCs w:val="32"/>
          <w:lang w:val="en-US" w:eastAsia="zh-CN"/>
        </w:rPr>
        <w:t>5</w:t>
      </w:r>
      <w:r>
        <w:rPr>
          <w:rFonts w:hint="eastAsia" w:ascii="仿宋_GB2312" w:hAnsi="仿宋" w:eastAsia="仿宋_GB2312" w:cs="仿宋"/>
          <w:color w:val="000000"/>
          <w:sz w:val="32"/>
          <w:szCs w:val="32"/>
        </w:rPr>
        <w:t>】月【3</w:t>
      </w:r>
      <w:r>
        <w:rPr>
          <w:rFonts w:hint="eastAsia" w:ascii="仿宋_GB2312" w:hAnsi="仿宋" w:eastAsia="仿宋_GB2312" w:cs="仿宋"/>
          <w:color w:val="000000"/>
          <w:sz w:val="32"/>
          <w:szCs w:val="32"/>
          <w:lang w:val="en-US" w:eastAsia="zh-CN"/>
        </w:rPr>
        <w:t>1</w:t>
      </w:r>
      <w:r>
        <w:rPr>
          <w:rFonts w:hint="eastAsia" w:ascii="仿宋_GB2312" w:hAnsi="仿宋" w:eastAsia="仿宋_GB2312" w:cs="仿宋"/>
          <w:color w:val="000000"/>
          <w:sz w:val="32"/>
          <w:szCs w:val="32"/>
        </w:rPr>
        <w:t>】日的债权本金，债务人和担保人应支付给我司的利息、罚息、复利、违约金及其它应付款，按借款合同、担保合同及中国人民银行的有关规定或生效法律文书确定的方法计算；</w:t>
      </w:r>
    </w:p>
    <w:p w14:paraId="383CDDD2">
      <w:pPr>
        <w:pStyle w:val="10"/>
        <w:widowControl/>
        <w:spacing w:line="360" w:lineRule="atLeas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2.若债务人、担保人因各种原因更名、改制、歇业、吊销营业执照或丧失民事主体资格的，请相关承债主体或主管部门代为履行义务或履行清算责任；</w:t>
      </w:r>
    </w:p>
    <w:p w14:paraId="4A3210DC">
      <w:pPr>
        <w:pStyle w:val="10"/>
        <w:widowControl/>
        <w:spacing w:line="360" w:lineRule="atLeast"/>
        <w:ind w:firstLine="800"/>
        <w:rPr>
          <w:rFonts w:ascii="仿宋_GB2312" w:hAnsi="仿宋" w:eastAsia="仿宋_GB2312" w:cs="仿宋"/>
          <w:color w:val="000000"/>
          <w:sz w:val="32"/>
          <w:szCs w:val="32"/>
        </w:rPr>
      </w:pPr>
      <w:r>
        <w:rPr>
          <w:rFonts w:hint="eastAsia" w:ascii="仿宋_GB2312" w:hAnsi="仿宋" w:eastAsia="仿宋_GB2312" w:cs="仿宋"/>
          <w:color w:val="000000"/>
          <w:sz w:val="32"/>
          <w:szCs w:val="32"/>
        </w:rPr>
        <w:t>3.以上内容如有错漏，以债务人、担保人等原已签署的交易合同</w:t>
      </w:r>
      <w:r>
        <w:rPr>
          <w:rFonts w:hint="eastAsia" w:ascii="仿宋_GB2312" w:hAnsi="仿宋" w:eastAsia="仿宋_GB2312" w:cs="仿宋"/>
          <w:sz w:val="32"/>
          <w:szCs w:val="32"/>
          <w:shd w:val="clear" w:color="auto" w:fill="FFFFFF"/>
          <w:lang w:bidi="ar"/>
        </w:rPr>
        <w:t>及/或生效法律文书等相关法律文件</w:t>
      </w:r>
      <w:r>
        <w:rPr>
          <w:rFonts w:hint="eastAsia" w:ascii="仿宋_GB2312" w:hAnsi="仿宋" w:eastAsia="仿宋_GB2312" w:cs="仿宋"/>
          <w:color w:val="000000"/>
          <w:sz w:val="32"/>
          <w:szCs w:val="32"/>
        </w:rPr>
        <w:t>为准；</w:t>
      </w:r>
    </w:p>
    <w:p w14:paraId="6F259293">
      <w:pPr>
        <w:pStyle w:val="10"/>
        <w:widowControl/>
        <w:spacing w:line="360" w:lineRule="atLeast"/>
        <w:ind w:firstLine="800"/>
        <w:rPr>
          <w:rFonts w:ascii="仿宋_GB2312" w:hAnsi="仿宋" w:eastAsia="仿宋_GB2312"/>
          <w:bCs/>
          <w:kern w:val="0"/>
          <w:sz w:val="32"/>
          <w:szCs w:val="32"/>
        </w:rPr>
      </w:pPr>
      <w:r>
        <w:rPr>
          <w:rFonts w:hint="eastAsia" w:ascii="仿宋_GB2312" w:hAnsi="仿宋" w:eastAsia="仿宋_GB2312" w:cs="仿宋"/>
          <w:color w:val="000000"/>
          <w:sz w:val="32"/>
          <w:szCs w:val="32"/>
        </w:rPr>
        <w:t>4.</w:t>
      </w:r>
      <w:r>
        <w:rPr>
          <w:rFonts w:hint="eastAsia" w:ascii="仿宋_GB2312" w:hAnsi="仿宋" w:eastAsia="仿宋_GB2312" w:cs="仿宋"/>
          <w:color w:val="2B2B2B"/>
          <w:sz w:val="32"/>
          <w:szCs w:val="32"/>
          <w:shd w:val="clear" w:color="auto" w:fill="FFFFFF"/>
        </w:rPr>
        <w:t>资产介绍及照片内容仅供参考,我司不对其承担任何法律责任。</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EC4"/>
    <w:rsid w:val="000161D3"/>
    <w:rsid w:val="00023E20"/>
    <w:rsid w:val="000773C6"/>
    <w:rsid w:val="000C2C2C"/>
    <w:rsid w:val="000C5B13"/>
    <w:rsid w:val="000C6278"/>
    <w:rsid w:val="000D68CE"/>
    <w:rsid w:val="00106B47"/>
    <w:rsid w:val="001112CE"/>
    <w:rsid w:val="00125111"/>
    <w:rsid w:val="00144DE2"/>
    <w:rsid w:val="0015049C"/>
    <w:rsid w:val="00152FFE"/>
    <w:rsid w:val="0015435C"/>
    <w:rsid w:val="00156792"/>
    <w:rsid w:val="00163727"/>
    <w:rsid w:val="0017230C"/>
    <w:rsid w:val="001821D9"/>
    <w:rsid w:val="0018331F"/>
    <w:rsid w:val="00187989"/>
    <w:rsid w:val="001955CF"/>
    <w:rsid w:val="001A71E2"/>
    <w:rsid w:val="001B0D49"/>
    <w:rsid w:val="001B5665"/>
    <w:rsid w:val="001B6566"/>
    <w:rsid w:val="001C0E10"/>
    <w:rsid w:val="00215363"/>
    <w:rsid w:val="00215F31"/>
    <w:rsid w:val="00216AB1"/>
    <w:rsid w:val="002210A8"/>
    <w:rsid w:val="0023000B"/>
    <w:rsid w:val="002450D8"/>
    <w:rsid w:val="00250FE2"/>
    <w:rsid w:val="002737E9"/>
    <w:rsid w:val="00282EA2"/>
    <w:rsid w:val="00287A31"/>
    <w:rsid w:val="00293519"/>
    <w:rsid w:val="0029391D"/>
    <w:rsid w:val="00293D52"/>
    <w:rsid w:val="002A1E6C"/>
    <w:rsid w:val="002A6D2F"/>
    <w:rsid w:val="002B3A7A"/>
    <w:rsid w:val="002D627C"/>
    <w:rsid w:val="002F6A0E"/>
    <w:rsid w:val="003015C3"/>
    <w:rsid w:val="003312C6"/>
    <w:rsid w:val="00331794"/>
    <w:rsid w:val="00335870"/>
    <w:rsid w:val="00340885"/>
    <w:rsid w:val="003432BA"/>
    <w:rsid w:val="00352720"/>
    <w:rsid w:val="00355152"/>
    <w:rsid w:val="00374013"/>
    <w:rsid w:val="00375035"/>
    <w:rsid w:val="00390F43"/>
    <w:rsid w:val="003A39C1"/>
    <w:rsid w:val="003A54C9"/>
    <w:rsid w:val="003B5353"/>
    <w:rsid w:val="003F1F80"/>
    <w:rsid w:val="00407EC4"/>
    <w:rsid w:val="00420A4A"/>
    <w:rsid w:val="004274AA"/>
    <w:rsid w:val="004409FB"/>
    <w:rsid w:val="004419DD"/>
    <w:rsid w:val="00445B78"/>
    <w:rsid w:val="00454104"/>
    <w:rsid w:val="00454B4B"/>
    <w:rsid w:val="00474DA8"/>
    <w:rsid w:val="00476271"/>
    <w:rsid w:val="004A65BF"/>
    <w:rsid w:val="004B51A9"/>
    <w:rsid w:val="004C3139"/>
    <w:rsid w:val="004D1FCE"/>
    <w:rsid w:val="004D5513"/>
    <w:rsid w:val="004E4FC4"/>
    <w:rsid w:val="0050728C"/>
    <w:rsid w:val="00513035"/>
    <w:rsid w:val="0052494A"/>
    <w:rsid w:val="00531F97"/>
    <w:rsid w:val="005451AF"/>
    <w:rsid w:val="00586D6C"/>
    <w:rsid w:val="005A4CDE"/>
    <w:rsid w:val="005D41E4"/>
    <w:rsid w:val="005E4B83"/>
    <w:rsid w:val="005E6E0E"/>
    <w:rsid w:val="005F4165"/>
    <w:rsid w:val="00601C0D"/>
    <w:rsid w:val="00632DD9"/>
    <w:rsid w:val="006356C5"/>
    <w:rsid w:val="00637821"/>
    <w:rsid w:val="006758D1"/>
    <w:rsid w:val="00681971"/>
    <w:rsid w:val="00683798"/>
    <w:rsid w:val="006840B0"/>
    <w:rsid w:val="006A349F"/>
    <w:rsid w:val="006B33B8"/>
    <w:rsid w:val="006C3B29"/>
    <w:rsid w:val="006E218C"/>
    <w:rsid w:val="006E224A"/>
    <w:rsid w:val="006E50CD"/>
    <w:rsid w:val="006E6D67"/>
    <w:rsid w:val="006F37EE"/>
    <w:rsid w:val="006F54A3"/>
    <w:rsid w:val="00723D81"/>
    <w:rsid w:val="00733817"/>
    <w:rsid w:val="00734BE2"/>
    <w:rsid w:val="00760CAB"/>
    <w:rsid w:val="0076631B"/>
    <w:rsid w:val="007779E3"/>
    <w:rsid w:val="00783029"/>
    <w:rsid w:val="00783CB0"/>
    <w:rsid w:val="007960E8"/>
    <w:rsid w:val="007B3301"/>
    <w:rsid w:val="007B495D"/>
    <w:rsid w:val="007D084C"/>
    <w:rsid w:val="007E1685"/>
    <w:rsid w:val="007E32C8"/>
    <w:rsid w:val="007F1F91"/>
    <w:rsid w:val="007F7B5E"/>
    <w:rsid w:val="00840CCD"/>
    <w:rsid w:val="00875D99"/>
    <w:rsid w:val="008A1090"/>
    <w:rsid w:val="008C6424"/>
    <w:rsid w:val="008E0E64"/>
    <w:rsid w:val="009204F6"/>
    <w:rsid w:val="00951B13"/>
    <w:rsid w:val="00954055"/>
    <w:rsid w:val="00965DC6"/>
    <w:rsid w:val="00981CAD"/>
    <w:rsid w:val="00A44DA2"/>
    <w:rsid w:val="00A63A59"/>
    <w:rsid w:val="00A9723B"/>
    <w:rsid w:val="00AB2F4A"/>
    <w:rsid w:val="00AC3956"/>
    <w:rsid w:val="00AD17FC"/>
    <w:rsid w:val="00AE17B2"/>
    <w:rsid w:val="00AE4FC7"/>
    <w:rsid w:val="00AF4202"/>
    <w:rsid w:val="00B00ED3"/>
    <w:rsid w:val="00B22A0D"/>
    <w:rsid w:val="00B2488A"/>
    <w:rsid w:val="00B26440"/>
    <w:rsid w:val="00B403AE"/>
    <w:rsid w:val="00B516E2"/>
    <w:rsid w:val="00B56C0F"/>
    <w:rsid w:val="00B5798B"/>
    <w:rsid w:val="00B7389D"/>
    <w:rsid w:val="00BB059B"/>
    <w:rsid w:val="00BC1707"/>
    <w:rsid w:val="00BF3516"/>
    <w:rsid w:val="00C1276A"/>
    <w:rsid w:val="00C258D3"/>
    <w:rsid w:val="00C436D2"/>
    <w:rsid w:val="00C76422"/>
    <w:rsid w:val="00C92AD9"/>
    <w:rsid w:val="00CA2871"/>
    <w:rsid w:val="00CB128F"/>
    <w:rsid w:val="00CB450F"/>
    <w:rsid w:val="00CD4EED"/>
    <w:rsid w:val="00CE0CED"/>
    <w:rsid w:val="00D072C6"/>
    <w:rsid w:val="00D65CFB"/>
    <w:rsid w:val="00D66C67"/>
    <w:rsid w:val="00D70205"/>
    <w:rsid w:val="00D80148"/>
    <w:rsid w:val="00D93C7E"/>
    <w:rsid w:val="00DA147A"/>
    <w:rsid w:val="00DB4FD3"/>
    <w:rsid w:val="00DC0A80"/>
    <w:rsid w:val="00DF0EE2"/>
    <w:rsid w:val="00DF4DA2"/>
    <w:rsid w:val="00E12143"/>
    <w:rsid w:val="00E23C44"/>
    <w:rsid w:val="00E25842"/>
    <w:rsid w:val="00E40124"/>
    <w:rsid w:val="00E50521"/>
    <w:rsid w:val="00E55C25"/>
    <w:rsid w:val="00E818F3"/>
    <w:rsid w:val="00E928AE"/>
    <w:rsid w:val="00E92B28"/>
    <w:rsid w:val="00EA3B4E"/>
    <w:rsid w:val="00EB1BCD"/>
    <w:rsid w:val="00EC7340"/>
    <w:rsid w:val="00EE1F95"/>
    <w:rsid w:val="00EE726B"/>
    <w:rsid w:val="00F020DD"/>
    <w:rsid w:val="00F16178"/>
    <w:rsid w:val="00F2029A"/>
    <w:rsid w:val="00F241B2"/>
    <w:rsid w:val="00F25AB1"/>
    <w:rsid w:val="00F36E9E"/>
    <w:rsid w:val="00F41889"/>
    <w:rsid w:val="00F54E14"/>
    <w:rsid w:val="00F56126"/>
    <w:rsid w:val="00F60C22"/>
    <w:rsid w:val="00F76F6F"/>
    <w:rsid w:val="00FA7D7E"/>
    <w:rsid w:val="00FB3DC9"/>
    <w:rsid w:val="00FB7173"/>
    <w:rsid w:val="00FC29CC"/>
    <w:rsid w:val="00FE70EB"/>
    <w:rsid w:val="19B712C5"/>
    <w:rsid w:val="3C377FE9"/>
    <w:rsid w:val="4CED44D5"/>
    <w:rsid w:val="599B05DB"/>
    <w:rsid w:val="79C77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5"/>
    <w:unhideWhenUsed/>
    <w:qFormat/>
    <w:uiPriority w:val="0"/>
    <w:pPr>
      <w:keepNext/>
      <w:keepLines/>
      <w:spacing w:before="260" w:after="260" w:line="413" w:lineRule="auto"/>
      <w:outlineLvl w:val="1"/>
    </w:pPr>
    <w:rPr>
      <w:rFonts w:ascii="Arial" w:hAnsi="Arial" w:eastAsia="黑体" w:cs="Times New Roman"/>
      <w:b/>
      <w:sz w:val="32"/>
      <w:szCs w:val="24"/>
    </w:rPr>
  </w:style>
  <w:style w:type="paragraph" w:styleId="4">
    <w:name w:val="heading 3"/>
    <w:basedOn w:val="1"/>
    <w:next w:val="1"/>
    <w:link w:val="26"/>
    <w:unhideWhenUsed/>
    <w:qFormat/>
    <w:uiPriority w:val="0"/>
    <w:pPr>
      <w:keepNext/>
      <w:keepLines/>
      <w:spacing w:before="260" w:after="260" w:line="413" w:lineRule="auto"/>
      <w:outlineLvl w:val="2"/>
    </w:pPr>
    <w:rPr>
      <w:rFonts w:ascii="Times New Roman" w:hAnsi="Times New Roman" w:eastAsia="宋体" w:cs="Times New Roman"/>
      <w:b/>
      <w:sz w:val="32"/>
      <w:szCs w:val="24"/>
    </w:rPr>
  </w:style>
  <w:style w:type="paragraph" w:styleId="5">
    <w:name w:val="heading 4"/>
    <w:basedOn w:val="1"/>
    <w:next w:val="1"/>
    <w:link w:val="2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1"/>
    <w:unhideWhenUsed/>
    <w:qFormat/>
    <w:uiPriority w:val="0"/>
    <w:pPr>
      <w:jc w:val="left"/>
    </w:pPr>
  </w:style>
  <w:style w:type="paragraph" w:styleId="7">
    <w:name w:val="Balloon Text"/>
    <w:basedOn w:val="1"/>
    <w:link w:val="23"/>
    <w:unhideWhenUsed/>
    <w:qFormat/>
    <w:uiPriority w:val="0"/>
    <w:rPr>
      <w:sz w:val="18"/>
      <w:szCs w:val="18"/>
    </w:rPr>
  </w:style>
  <w:style w:type="paragraph" w:styleId="8">
    <w:name w:val="footer"/>
    <w:basedOn w:val="1"/>
    <w:link w:val="19"/>
    <w:unhideWhenUsed/>
    <w:qFormat/>
    <w:uiPriority w:val="0"/>
    <w:pPr>
      <w:tabs>
        <w:tab w:val="center" w:pos="4153"/>
        <w:tab w:val="right" w:pos="8306"/>
      </w:tabs>
      <w:snapToGrid w:val="0"/>
      <w:jc w:val="left"/>
    </w:pPr>
    <w:rPr>
      <w:sz w:val="18"/>
      <w:szCs w:val="18"/>
    </w:rPr>
  </w:style>
  <w:style w:type="paragraph" w:styleId="9">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spacing w:line="360" w:lineRule="auto"/>
      <w:ind w:firstLine="700" w:firstLineChars="250"/>
    </w:pPr>
    <w:rPr>
      <w:rFonts w:ascii="Times New Roman" w:hAnsi="Times New Roman" w:eastAsia="仿宋" w:cs="Times New Roman"/>
      <w:sz w:val="24"/>
      <w:szCs w:val="24"/>
    </w:rPr>
  </w:style>
  <w:style w:type="paragraph" w:styleId="11">
    <w:name w:val="annotation subject"/>
    <w:basedOn w:val="6"/>
    <w:next w:val="6"/>
    <w:link w:val="22"/>
    <w:unhideWhenUsed/>
    <w:qFormat/>
    <w:uiPriority w:val="0"/>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semiHidden/>
    <w:unhideWhenUsed/>
    <w:qFormat/>
    <w:uiPriority w:val="99"/>
    <w:rPr>
      <w:color w:val="800080"/>
      <w:u w:val="single"/>
    </w:rPr>
  </w:style>
  <w:style w:type="character" w:styleId="16">
    <w:name w:val="Hyperlink"/>
    <w:basedOn w:val="14"/>
    <w:semiHidden/>
    <w:unhideWhenUsed/>
    <w:qFormat/>
    <w:uiPriority w:val="99"/>
    <w:rPr>
      <w:color w:val="0000FF"/>
      <w:u w:val="single"/>
    </w:rPr>
  </w:style>
  <w:style w:type="character" w:styleId="17">
    <w:name w:val="annotation reference"/>
    <w:basedOn w:val="14"/>
    <w:unhideWhenUsed/>
    <w:qFormat/>
    <w:uiPriority w:val="0"/>
    <w:rPr>
      <w:sz w:val="21"/>
      <w:szCs w:val="21"/>
    </w:rPr>
  </w:style>
  <w:style w:type="character" w:customStyle="1" w:styleId="18">
    <w:name w:val="页眉 字符"/>
    <w:basedOn w:val="14"/>
    <w:link w:val="9"/>
    <w:qFormat/>
    <w:uiPriority w:val="99"/>
    <w:rPr>
      <w:sz w:val="18"/>
      <w:szCs w:val="18"/>
    </w:rPr>
  </w:style>
  <w:style w:type="character" w:customStyle="1" w:styleId="19">
    <w:name w:val="页脚 字符"/>
    <w:basedOn w:val="14"/>
    <w:link w:val="8"/>
    <w:qFormat/>
    <w:uiPriority w:val="99"/>
    <w:rPr>
      <w:sz w:val="18"/>
      <w:szCs w:val="18"/>
    </w:rPr>
  </w:style>
  <w:style w:type="paragraph" w:styleId="20">
    <w:name w:val="List Paragraph"/>
    <w:basedOn w:val="1"/>
    <w:qFormat/>
    <w:uiPriority w:val="34"/>
    <w:pPr>
      <w:spacing w:line="360" w:lineRule="auto"/>
      <w:ind w:firstLine="420" w:firstLineChars="200"/>
    </w:pPr>
    <w:rPr>
      <w:rFonts w:ascii="仿宋" w:hAnsi="仿宋" w:eastAsia="仿宋" w:cs="Times New Roman"/>
      <w:sz w:val="28"/>
      <w:szCs w:val="28"/>
    </w:rPr>
  </w:style>
  <w:style w:type="character" w:customStyle="1" w:styleId="21">
    <w:name w:val="批注文字 字符"/>
    <w:basedOn w:val="14"/>
    <w:link w:val="6"/>
    <w:qFormat/>
    <w:uiPriority w:val="0"/>
  </w:style>
  <w:style w:type="character" w:customStyle="1" w:styleId="22">
    <w:name w:val="批注主题 字符"/>
    <w:basedOn w:val="21"/>
    <w:link w:val="11"/>
    <w:qFormat/>
    <w:uiPriority w:val="0"/>
    <w:rPr>
      <w:b/>
      <w:bCs/>
    </w:rPr>
  </w:style>
  <w:style w:type="character" w:customStyle="1" w:styleId="23">
    <w:name w:val="批注框文本 字符"/>
    <w:basedOn w:val="14"/>
    <w:link w:val="7"/>
    <w:qFormat/>
    <w:uiPriority w:val="0"/>
    <w:rPr>
      <w:sz w:val="18"/>
      <w:szCs w:val="18"/>
    </w:rPr>
  </w:style>
  <w:style w:type="character" w:customStyle="1" w:styleId="24">
    <w:name w:val="标题 1 字符"/>
    <w:basedOn w:val="14"/>
    <w:link w:val="2"/>
    <w:qFormat/>
    <w:uiPriority w:val="0"/>
    <w:rPr>
      <w:rFonts w:ascii="Times New Roman" w:hAnsi="Times New Roman" w:eastAsia="宋体" w:cs="Times New Roman"/>
      <w:b/>
      <w:bCs/>
      <w:kern w:val="44"/>
      <w:sz w:val="44"/>
      <w:szCs w:val="44"/>
    </w:rPr>
  </w:style>
  <w:style w:type="character" w:customStyle="1" w:styleId="25">
    <w:name w:val="标题 2 字符"/>
    <w:basedOn w:val="14"/>
    <w:link w:val="3"/>
    <w:qFormat/>
    <w:uiPriority w:val="0"/>
    <w:rPr>
      <w:rFonts w:ascii="Arial" w:hAnsi="Arial" w:eastAsia="黑体" w:cs="Times New Roman"/>
      <w:b/>
      <w:kern w:val="2"/>
      <w:sz w:val="32"/>
      <w:szCs w:val="24"/>
    </w:rPr>
  </w:style>
  <w:style w:type="character" w:customStyle="1" w:styleId="26">
    <w:name w:val="标题 3 字符"/>
    <w:basedOn w:val="14"/>
    <w:link w:val="4"/>
    <w:qFormat/>
    <w:uiPriority w:val="0"/>
    <w:rPr>
      <w:rFonts w:ascii="Times New Roman" w:hAnsi="Times New Roman" w:eastAsia="宋体" w:cs="Times New Roman"/>
      <w:b/>
      <w:kern w:val="2"/>
      <w:sz w:val="32"/>
      <w:szCs w:val="24"/>
    </w:rPr>
  </w:style>
  <w:style w:type="character" w:customStyle="1" w:styleId="27">
    <w:name w:val="标题 4 字符"/>
    <w:basedOn w:val="14"/>
    <w:link w:val="5"/>
    <w:semiHidden/>
    <w:qFormat/>
    <w:uiPriority w:val="9"/>
    <w:rPr>
      <w:rFonts w:asciiTheme="majorHAnsi" w:hAnsiTheme="majorHAnsi" w:eastAsiaTheme="majorEastAsia" w:cstheme="majorBidi"/>
      <w:b/>
      <w:bCs/>
      <w:kern w:val="2"/>
      <w:sz w:val="28"/>
      <w:szCs w:val="28"/>
    </w:rPr>
  </w:style>
  <w:style w:type="table" w:customStyle="1" w:styleId="28">
    <w:name w:val="网格型6"/>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网格型61"/>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2">
    <w:name w:val="xl68"/>
    <w:basedOn w:val="1"/>
    <w:qFormat/>
    <w:uiPriority w:val="0"/>
    <w:pPr>
      <w:widowControl/>
      <w:spacing w:before="100" w:beforeAutospacing="1" w:after="100" w:afterAutospacing="1"/>
      <w:jc w:val="left"/>
    </w:pPr>
    <w:rPr>
      <w:rFonts w:ascii="仿宋" w:hAnsi="仿宋" w:eastAsia="仿宋" w:cs="宋体"/>
      <w:kern w:val="0"/>
      <w:sz w:val="18"/>
      <w:szCs w:val="18"/>
    </w:rPr>
  </w:style>
  <w:style w:type="paragraph" w:customStyle="1" w:styleId="33">
    <w:name w:val="xl69"/>
    <w:basedOn w:val="1"/>
    <w:qFormat/>
    <w:uiPriority w:val="0"/>
    <w:pPr>
      <w:widowControl/>
      <w:spacing w:before="100" w:beforeAutospacing="1" w:after="100" w:afterAutospacing="1"/>
      <w:jc w:val="left"/>
    </w:pPr>
    <w:rPr>
      <w:rFonts w:ascii="仿宋" w:hAnsi="仿宋" w:eastAsia="仿宋" w:cs="宋体"/>
      <w:kern w:val="0"/>
      <w:sz w:val="24"/>
      <w:szCs w:val="24"/>
    </w:rPr>
  </w:style>
  <w:style w:type="paragraph" w:customStyle="1" w:styleId="34">
    <w:name w:val="xl70"/>
    <w:basedOn w:val="1"/>
    <w:qFormat/>
    <w:uiPriority w:val="0"/>
    <w:pPr>
      <w:widowControl/>
      <w:spacing w:before="100" w:beforeAutospacing="1" w:after="100" w:afterAutospacing="1"/>
      <w:jc w:val="left"/>
    </w:pPr>
    <w:rPr>
      <w:rFonts w:ascii="仿宋" w:hAnsi="仿宋" w:eastAsia="仿宋" w:cs="宋体"/>
      <w:kern w:val="0"/>
      <w:sz w:val="24"/>
      <w:szCs w:val="24"/>
    </w:rPr>
  </w:style>
  <w:style w:type="paragraph" w:customStyle="1" w:styleId="35">
    <w:name w:val="xl71"/>
    <w:basedOn w:val="1"/>
    <w:qFormat/>
    <w:uiPriority w:val="0"/>
    <w:pPr>
      <w:widowControl/>
      <w:spacing w:before="100" w:beforeAutospacing="1" w:after="100" w:afterAutospacing="1"/>
      <w:jc w:val="left"/>
    </w:pPr>
    <w:rPr>
      <w:rFonts w:ascii="仿宋" w:hAnsi="仿宋" w:eastAsia="仿宋" w:cs="宋体"/>
      <w:kern w:val="0"/>
      <w:sz w:val="24"/>
      <w:szCs w:val="24"/>
    </w:rPr>
  </w:style>
  <w:style w:type="paragraph" w:customStyle="1" w:styleId="3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b/>
      <w:bCs/>
      <w:kern w:val="0"/>
      <w:sz w:val="18"/>
      <w:szCs w:val="18"/>
    </w:rPr>
  </w:style>
  <w:style w:type="paragraph" w:customStyle="1" w:styleId="3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b/>
      <w:bCs/>
      <w:kern w:val="0"/>
      <w:sz w:val="18"/>
      <w:szCs w:val="18"/>
    </w:rPr>
  </w:style>
  <w:style w:type="paragraph" w:customStyle="1" w:styleId="3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宋体"/>
      <w:kern w:val="0"/>
      <w:sz w:val="18"/>
      <w:szCs w:val="18"/>
    </w:rPr>
  </w:style>
  <w:style w:type="paragraph" w:customStyle="1" w:styleId="3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b/>
      <w:bCs/>
      <w:kern w:val="0"/>
      <w:sz w:val="28"/>
      <w:szCs w:val="28"/>
    </w:rPr>
  </w:style>
  <w:style w:type="paragraph" w:customStyle="1" w:styleId="4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b/>
      <w:bCs/>
      <w:kern w:val="0"/>
      <w:sz w:val="28"/>
      <w:szCs w:val="28"/>
    </w:rPr>
  </w:style>
  <w:style w:type="paragraph" w:customStyle="1" w:styleId="4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仿宋" w:hAnsi="仿宋" w:eastAsia="仿宋" w:cs="宋体"/>
      <w:kern w:val="0"/>
      <w:sz w:val="18"/>
      <w:szCs w:val="18"/>
    </w:rPr>
  </w:style>
  <w:style w:type="paragraph" w:customStyle="1" w:styleId="4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仿宋" w:hAnsi="仿宋" w:eastAsia="仿宋" w:cs="宋体"/>
      <w:kern w:val="0"/>
      <w:sz w:val="18"/>
      <w:szCs w:val="18"/>
    </w:rPr>
  </w:style>
  <w:style w:type="table" w:customStyle="1" w:styleId="43">
    <w:name w:val="网格型浅色1"/>
    <w:basedOn w:val="12"/>
    <w:qFormat/>
    <w:uiPriority w:val="40"/>
    <w:rPr>
      <w:kern w:val="2"/>
      <w:sz w:val="21"/>
      <w:szCs w:val="22"/>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44">
    <w:name w:val="正文正文"/>
    <w:basedOn w:val="1"/>
    <w:link w:val="45"/>
    <w:autoRedefine/>
    <w:qFormat/>
    <w:uiPriority w:val="0"/>
    <w:pPr>
      <w:jc w:val="left"/>
    </w:pPr>
    <w:rPr>
      <w:rFonts w:ascii="仿宋_GB2312" w:hAnsi="Times New Roman" w:eastAsia="仿宋_GB2312" w:cs="Times New Roman"/>
      <w:kern w:val="0"/>
      <w:szCs w:val="21"/>
    </w:rPr>
  </w:style>
  <w:style w:type="character" w:customStyle="1" w:styleId="45">
    <w:name w:val="正文正文 字符"/>
    <w:basedOn w:val="14"/>
    <w:link w:val="44"/>
    <w:qFormat/>
    <w:uiPriority w:val="0"/>
    <w:rPr>
      <w:rFonts w:ascii="仿宋_GB2312" w:hAnsi="Times New Roman" w:eastAsia="仿宋_GB2312" w:cs="Times New Roman"/>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3194A5-2727-45A6-B399-6770F09E8585}">
  <ds:schemaRefs/>
</ds:datastoreItem>
</file>

<file path=docProps/app.xml><?xml version="1.0" encoding="utf-8"?>
<Properties xmlns="http://schemas.openxmlformats.org/officeDocument/2006/extended-properties" xmlns:vt="http://schemas.openxmlformats.org/officeDocument/2006/docPropsVTypes">
  <Template>Normal</Template>
  <Pages>5</Pages>
  <Words>984</Words>
  <Characters>1100</Characters>
  <Lines>8</Lines>
  <Paragraphs>2</Paragraphs>
  <TotalTime>0</TotalTime>
  <ScaleCrop>false</ScaleCrop>
  <LinksUpToDate>false</LinksUpToDate>
  <CharactersWithSpaces>1100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2024-12-04T06:39:00Z</dcterms:created>
  <dc:creator>黄月琴</dc:creator>
  <cp:lastModifiedBy>王烜</cp:lastModifiedBy>
  <cp:lastPrinted>2025-02-11T09:23:00Z</cp:lastPrinted>
  <dcterms:modified xsi:type="dcterms:W3CDTF">2026-07-03T02:41:21Z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4D24D8317B524629A92201FC467CE39C_13</vt:lpwstr>
  </property>
  <property fmtid="{D5CDD505-2E9C-101B-9397-08002B2CF9AE}" pid="4" name="KSOTemplateDocerSaveRecord">
    <vt:lpwstr>eyJoZGlkIjoiNTJkY2QwZDk0N2NjNDgyZWNiNjQ5YjQzNjg5MWYyNjMiLCJ1c2VySWQiOiIzODUwMDExMDIifQ==</vt:lpwstr>
  </property>
</Properties>
</file>