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37988">
      <w:pPr>
        <w:jc w:val="center"/>
        <w:rPr>
          <w:rFonts w:ascii="华文中宋" w:hAnsi="华文中宋" w:eastAsia="华文中宋"/>
          <w:bCs/>
          <w:sz w:val="44"/>
          <w:szCs w:val="44"/>
        </w:rPr>
      </w:pPr>
      <w:r>
        <w:rPr>
          <w:rFonts w:hint="eastAsia" w:ascii="华文中宋" w:hAnsi="华文中宋" w:eastAsia="华文中宋"/>
          <w:bCs/>
          <w:sz w:val="44"/>
          <w:szCs w:val="44"/>
        </w:rPr>
        <w:t>标的物介绍</w:t>
      </w:r>
    </w:p>
    <w:p w14:paraId="4CDA034A">
      <w:pPr>
        <w:rPr>
          <w:rFonts w:ascii="黑体" w:hAnsi="黑体" w:eastAsia="黑体"/>
          <w:sz w:val="32"/>
          <w:szCs w:val="32"/>
        </w:rPr>
      </w:pPr>
      <w:r>
        <w:rPr>
          <w:rFonts w:hint="eastAsia" w:ascii="黑体" w:hAnsi="黑体" w:eastAsia="黑体"/>
          <w:sz w:val="32"/>
          <w:szCs w:val="32"/>
        </w:rPr>
        <w:t>一、基本情况</w:t>
      </w:r>
    </w:p>
    <w:p w14:paraId="083BA3EE">
      <w:pPr>
        <w:spacing w:line="360" w:lineRule="auto"/>
        <w:ind w:firstLine="708" w:firstLineChars="252"/>
        <w:rPr>
          <w:rFonts w:ascii="仿宋" w:hAnsi="仿宋" w:eastAsia="仿宋"/>
          <w:sz w:val="28"/>
          <w:szCs w:val="24"/>
        </w:rPr>
      </w:pPr>
      <w:bookmarkStart w:id="0" w:name="_Hlk89712118"/>
      <w:r>
        <w:rPr>
          <w:rFonts w:hint="eastAsia" w:ascii="仿宋" w:hAnsi="仿宋" w:eastAsia="仿宋"/>
          <w:b/>
          <w:bCs/>
          <w:sz w:val="28"/>
          <w:szCs w:val="24"/>
          <w:u w:val="single"/>
        </w:rPr>
        <w:t>仁化县富民实业有限公司等</w:t>
      </w:r>
      <w:r>
        <w:rPr>
          <w:rFonts w:ascii="仿宋" w:hAnsi="仿宋" w:eastAsia="仿宋"/>
          <w:b/>
          <w:bCs/>
          <w:sz w:val="28"/>
          <w:szCs w:val="24"/>
          <w:u w:val="single"/>
        </w:rPr>
        <w:t>3户</w:t>
      </w:r>
      <w:r>
        <w:rPr>
          <w:rFonts w:hint="eastAsia" w:ascii="仿宋" w:hAnsi="仿宋" w:eastAsia="仿宋"/>
          <w:b/>
          <w:bCs/>
          <w:sz w:val="28"/>
          <w:szCs w:val="24"/>
          <w:u w:val="single"/>
        </w:rPr>
        <w:t>债权</w:t>
      </w:r>
      <w:r>
        <w:rPr>
          <w:rFonts w:ascii="仿宋" w:hAnsi="仿宋" w:eastAsia="仿宋"/>
          <w:sz w:val="28"/>
          <w:szCs w:val="24"/>
          <w:u w:val="single"/>
        </w:rPr>
        <w:t>（下称“标的债权”），</w:t>
      </w:r>
      <w:r>
        <w:rPr>
          <w:rFonts w:hint="eastAsia" w:ascii="仿宋" w:hAnsi="仿宋" w:eastAsia="仿宋"/>
          <w:sz w:val="28"/>
          <w:szCs w:val="24"/>
        </w:rPr>
        <w:t>截至基准日</w:t>
      </w:r>
      <w:r>
        <w:rPr>
          <w:rFonts w:hint="eastAsia" w:ascii="仿宋" w:hAnsi="仿宋" w:eastAsia="仿宋"/>
          <w:sz w:val="28"/>
          <w:szCs w:val="24"/>
          <w:u w:val="single"/>
        </w:rPr>
        <w:t xml:space="preserve"> </w:t>
      </w:r>
      <w:r>
        <w:rPr>
          <w:rFonts w:ascii="仿宋" w:hAnsi="仿宋" w:eastAsia="仿宋"/>
          <w:sz w:val="28"/>
          <w:szCs w:val="24"/>
          <w:u w:val="single"/>
        </w:rPr>
        <w:t>202</w:t>
      </w:r>
      <w:r>
        <w:rPr>
          <w:rFonts w:hint="eastAsia" w:ascii="仿宋" w:hAnsi="仿宋" w:eastAsia="仿宋"/>
          <w:sz w:val="28"/>
          <w:szCs w:val="24"/>
          <w:u w:val="single"/>
          <w:lang w:val="en-US" w:eastAsia="zh-CN"/>
        </w:rPr>
        <w:t>6</w:t>
      </w:r>
      <w:r>
        <w:rPr>
          <w:rFonts w:hint="eastAsia" w:ascii="仿宋" w:hAnsi="仿宋" w:eastAsia="仿宋"/>
          <w:sz w:val="28"/>
          <w:szCs w:val="24"/>
          <w:u w:val="single"/>
        </w:rPr>
        <w:t xml:space="preserve"> </w:t>
      </w:r>
      <w:r>
        <w:rPr>
          <w:rFonts w:ascii="仿宋" w:hAnsi="仿宋" w:eastAsia="仿宋"/>
          <w:sz w:val="28"/>
          <w:szCs w:val="24"/>
        </w:rPr>
        <w:t>年</w:t>
      </w:r>
      <w:r>
        <w:rPr>
          <w:rFonts w:hint="eastAsia" w:ascii="仿宋" w:hAnsi="仿宋" w:eastAsia="仿宋"/>
          <w:sz w:val="28"/>
          <w:szCs w:val="24"/>
          <w:u w:val="single"/>
        </w:rPr>
        <w:t xml:space="preserve"> </w:t>
      </w:r>
      <w:r>
        <w:rPr>
          <w:rFonts w:hint="eastAsia" w:ascii="仿宋" w:hAnsi="仿宋" w:eastAsia="仿宋"/>
          <w:sz w:val="28"/>
          <w:szCs w:val="24"/>
          <w:u w:val="single"/>
          <w:lang w:val="en-US" w:eastAsia="zh-CN"/>
        </w:rPr>
        <w:t>4</w:t>
      </w:r>
      <w:r>
        <w:rPr>
          <w:rFonts w:hint="eastAsia" w:ascii="仿宋" w:hAnsi="仿宋" w:eastAsia="仿宋"/>
          <w:sz w:val="28"/>
          <w:szCs w:val="24"/>
          <w:u w:val="single"/>
        </w:rPr>
        <w:t xml:space="preserve"> </w:t>
      </w:r>
      <w:r>
        <w:rPr>
          <w:rFonts w:ascii="仿宋" w:hAnsi="仿宋" w:eastAsia="仿宋"/>
          <w:sz w:val="28"/>
          <w:szCs w:val="24"/>
        </w:rPr>
        <w:t>月</w:t>
      </w:r>
      <w:r>
        <w:rPr>
          <w:rFonts w:hint="eastAsia" w:ascii="仿宋" w:hAnsi="仿宋" w:eastAsia="仿宋"/>
          <w:sz w:val="28"/>
          <w:szCs w:val="24"/>
          <w:u w:val="single"/>
        </w:rPr>
        <w:t xml:space="preserve"> </w:t>
      </w:r>
      <w:r>
        <w:rPr>
          <w:rFonts w:hint="eastAsia" w:ascii="仿宋" w:hAnsi="仿宋" w:eastAsia="仿宋"/>
          <w:sz w:val="28"/>
          <w:szCs w:val="24"/>
          <w:u w:val="single"/>
          <w:lang w:val="en-US" w:eastAsia="zh-CN"/>
        </w:rPr>
        <w:t>3</w:t>
      </w:r>
      <w:r>
        <w:rPr>
          <w:rFonts w:ascii="仿宋" w:hAnsi="仿宋" w:eastAsia="仿宋"/>
          <w:sz w:val="28"/>
          <w:szCs w:val="24"/>
          <w:u w:val="single"/>
        </w:rPr>
        <w:t xml:space="preserve">0 </w:t>
      </w:r>
      <w:r>
        <w:rPr>
          <w:rFonts w:ascii="仿宋" w:hAnsi="仿宋" w:eastAsia="仿宋"/>
          <w:sz w:val="28"/>
          <w:szCs w:val="24"/>
        </w:rPr>
        <w:t>日，</w:t>
      </w:r>
      <w:r>
        <w:rPr>
          <w:rFonts w:hint="eastAsia" w:ascii="仿宋" w:hAnsi="仿宋" w:eastAsia="仿宋"/>
          <w:sz w:val="28"/>
          <w:szCs w:val="24"/>
        </w:rPr>
        <w:t>标的债权本金合计</w:t>
      </w:r>
      <w:r>
        <w:rPr>
          <w:rFonts w:ascii="仿宋" w:hAnsi="仿宋" w:eastAsia="仿宋"/>
          <w:sz w:val="28"/>
          <w:szCs w:val="24"/>
          <w:u w:val="single"/>
        </w:rPr>
        <w:t>7,256.55</w:t>
      </w:r>
      <w:r>
        <w:rPr>
          <w:rFonts w:hint="eastAsia" w:ascii="仿宋" w:hAnsi="仿宋" w:eastAsia="仿宋"/>
          <w:sz w:val="28"/>
          <w:szCs w:val="24"/>
        </w:rPr>
        <w:t>万</w:t>
      </w:r>
      <w:r>
        <w:rPr>
          <w:rFonts w:ascii="仿宋" w:hAnsi="仿宋" w:eastAsia="仿宋"/>
          <w:sz w:val="28"/>
          <w:szCs w:val="24"/>
        </w:rPr>
        <w:t>元。</w:t>
      </w:r>
      <w:bookmarkEnd w:id="0"/>
      <w:r>
        <w:rPr>
          <w:rFonts w:hint="eastAsia" w:ascii="仿宋" w:hAnsi="仿宋" w:eastAsia="仿宋"/>
          <w:sz w:val="28"/>
          <w:szCs w:val="24"/>
        </w:rPr>
        <w:t>具体情况如下：</w:t>
      </w:r>
    </w:p>
    <w:p w14:paraId="6344DB2B">
      <w:pPr>
        <w:spacing w:line="360" w:lineRule="auto"/>
        <w:jc w:val="right"/>
        <w:rPr>
          <w:rFonts w:ascii="仿宋" w:hAnsi="仿宋" w:eastAsia="仿宋"/>
          <w:sz w:val="28"/>
          <w:szCs w:val="24"/>
        </w:rPr>
      </w:pPr>
      <w:r>
        <w:rPr>
          <w:rFonts w:hint="eastAsia" w:ascii="仿宋" w:hAnsi="仿宋" w:eastAsia="仿宋"/>
          <w:sz w:val="28"/>
          <w:szCs w:val="24"/>
        </w:rPr>
        <w:t>单位：人民币/万元</w:t>
      </w:r>
    </w:p>
    <w:tbl>
      <w:tblPr>
        <w:tblStyle w:val="12"/>
        <w:tblW w:w="65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945"/>
        <w:gridCol w:w="1132"/>
        <w:gridCol w:w="1350"/>
        <w:gridCol w:w="1132"/>
        <w:gridCol w:w="886"/>
        <w:gridCol w:w="1246"/>
        <w:gridCol w:w="2612"/>
        <w:gridCol w:w="1054"/>
        <w:gridCol w:w="850"/>
      </w:tblGrid>
      <w:tr w14:paraId="6B2C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4" w:hRule="atLeast"/>
          <w:tblHeader/>
          <w:jc w:val="center"/>
        </w:trPr>
        <w:tc>
          <w:tcPr>
            <w:tcW w:w="422" w:type="pct"/>
            <w:shd w:val="clear" w:color="auto" w:fill="FFFFFF"/>
            <w:vAlign w:val="center"/>
          </w:tcPr>
          <w:p w14:paraId="43BB6CDC">
            <w:pPr>
              <w:jc w:val="center"/>
              <w:rPr>
                <w:rFonts w:ascii="仿宋" w:hAnsi="仿宋" w:eastAsia="仿宋" w:cs="Times New Roman"/>
                <w:b/>
                <w:szCs w:val="21"/>
              </w:rPr>
            </w:pPr>
            <w:r>
              <w:rPr>
                <w:rFonts w:hint="eastAsia" w:ascii="仿宋" w:hAnsi="仿宋" w:eastAsia="仿宋" w:cs="Times New Roman"/>
                <w:b/>
                <w:szCs w:val="21"/>
              </w:rPr>
              <w:t>借款人名称</w:t>
            </w:r>
          </w:p>
        </w:tc>
        <w:tc>
          <w:tcPr>
            <w:tcW w:w="505" w:type="pct"/>
            <w:tcBorders>
              <w:bottom w:val="single" w:color="auto" w:sz="4" w:space="0"/>
            </w:tcBorders>
            <w:shd w:val="clear" w:color="auto" w:fill="FFFFFF"/>
            <w:vAlign w:val="center"/>
          </w:tcPr>
          <w:p w14:paraId="084C1A21">
            <w:pPr>
              <w:jc w:val="center"/>
              <w:rPr>
                <w:rFonts w:ascii="仿宋" w:hAnsi="仿宋" w:eastAsia="仿宋" w:cs="Times New Roman"/>
                <w:b/>
                <w:szCs w:val="21"/>
              </w:rPr>
            </w:pPr>
            <w:r>
              <w:rPr>
                <w:rFonts w:hint="eastAsia" w:ascii="仿宋" w:hAnsi="仿宋" w:eastAsia="仿宋" w:cs="Times New Roman"/>
                <w:b/>
                <w:szCs w:val="21"/>
              </w:rPr>
              <w:t>本金</w:t>
            </w:r>
          </w:p>
        </w:tc>
        <w:tc>
          <w:tcPr>
            <w:tcW w:w="602" w:type="pct"/>
            <w:tcBorders>
              <w:bottom w:val="single" w:color="auto" w:sz="4" w:space="0"/>
            </w:tcBorders>
            <w:shd w:val="clear" w:color="auto" w:fill="FFFFFF"/>
            <w:vAlign w:val="center"/>
          </w:tcPr>
          <w:p w14:paraId="6A930E2C">
            <w:pPr>
              <w:jc w:val="center"/>
              <w:rPr>
                <w:rFonts w:ascii="仿宋" w:hAnsi="仿宋" w:eastAsia="仿宋" w:cs="Times New Roman"/>
                <w:b/>
                <w:szCs w:val="21"/>
              </w:rPr>
            </w:pPr>
            <w:r>
              <w:rPr>
                <w:rFonts w:hint="eastAsia" w:ascii="仿宋" w:hAnsi="仿宋" w:eastAsia="仿宋" w:cs="Times New Roman"/>
                <w:b/>
                <w:szCs w:val="21"/>
              </w:rPr>
              <w:t>利息（含罚息、复利）</w:t>
            </w:r>
          </w:p>
        </w:tc>
        <w:tc>
          <w:tcPr>
            <w:tcW w:w="505" w:type="pct"/>
            <w:tcBorders>
              <w:bottom w:val="single" w:color="auto" w:sz="4" w:space="0"/>
            </w:tcBorders>
            <w:shd w:val="clear" w:color="auto" w:fill="FFFFFF"/>
          </w:tcPr>
          <w:p w14:paraId="0DAA87BC">
            <w:pPr>
              <w:jc w:val="center"/>
              <w:rPr>
                <w:rFonts w:hint="eastAsia" w:ascii="仿宋" w:hAnsi="仿宋" w:eastAsia="仿宋" w:cs="Times New Roman"/>
                <w:b/>
                <w:szCs w:val="21"/>
              </w:rPr>
            </w:pPr>
            <w:r>
              <w:rPr>
                <w:rFonts w:hint="eastAsia" w:ascii="仿宋" w:hAnsi="仿宋" w:eastAsia="仿宋" w:cs="Times New Roman"/>
                <w:b/>
                <w:szCs w:val="21"/>
              </w:rPr>
              <w:t>迟延履行金</w:t>
            </w:r>
          </w:p>
        </w:tc>
        <w:tc>
          <w:tcPr>
            <w:tcW w:w="395" w:type="pct"/>
            <w:tcBorders>
              <w:bottom w:val="single" w:color="auto" w:sz="4" w:space="0"/>
            </w:tcBorders>
            <w:shd w:val="clear" w:color="auto" w:fill="FFFFFF"/>
          </w:tcPr>
          <w:p w14:paraId="750E52BA">
            <w:pPr>
              <w:jc w:val="center"/>
              <w:rPr>
                <w:rFonts w:ascii="仿宋" w:hAnsi="仿宋" w:eastAsia="仿宋" w:cs="Times New Roman"/>
                <w:b/>
                <w:szCs w:val="21"/>
              </w:rPr>
            </w:pPr>
            <w:r>
              <w:rPr>
                <w:rFonts w:hint="eastAsia" w:ascii="仿宋" w:hAnsi="仿宋" w:eastAsia="仿宋" w:cs="Times New Roman"/>
                <w:b/>
                <w:szCs w:val="21"/>
              </w:rPr>
              <w:t>其他费用</w:t>
            </w:r>
          </w:p>
        </w:tc>
        <w:tc>
          <w:tcPr>
            <w:tcW w:w="556" w:type="pct"/>
            <w:tcBorders>
              <w:bottom w:val="single" w:color="auto" w:sz="4" w:space="0"/>
            </w:tcBorders>
            <w:shd w:val="clear" w:color="auto" w:fill="FFFFFF"/>
            <w:vAlign w:val="center"/>
          </w:tcPr>
          <w:p w14:paraId="269391F1">
            <w:pPr>
              <w:jc w:val="center"/>
              <w:rPr>
                <w:rFonts w:ascii="仿宋" w:hAnsi="仿宋" w:eastAsia="仿宋" w:cs="Times New Roman"/>
                <w:b/>
                <w:szCs w:val="21"/>
              </w:rPr>
            </w:pPr>
            <w:r>
              <w:rPr>
                <w:rFonts w:hint="eastAsia" w:ascii="仿宋" w:hAnsi="仿宋" w:eastAsia="仿宋" w:cs="Times New Roman"/>
                <w:b/>
                <w:szCs w:val="21"/>
              </w:rPr>
              <w:t>债权</w:t>
            </w:r>
          </w:p>
          <w:p w14:paraId="065289DE">
            <w:pPr>
              <w:jc w:val="center"/>
              <w:rPr>
                <w:rFonts w:ascii="仿宋" w:hAnsi="仿宋" w:eastAsia="仿宋" w:cs="Times New Roman"/>
                <w:b/>
                <w:szCs w:val="21"/>
              </w:rPr>
            </w:pPr>
            <w:r>
              <w:rPr>
                <w:rFonts w:hint="eastAsia" w:ascii="仿宋" w:hAnsi="仿宋" w:eastAsia="仿宋" w:cs="Times New Roman"/>
                <w:b/>
                <w:szCs w:val="21"/>
              </w:rPr>
              <w:t>金额</w:t>
            </w:r>
          </w:p>
        </w:tc>
        <w:tc>
          <w:tcPr>
            <w:tcW w:w="1165" w:type="pct"/>
            <w:shd w:val="clear" w:color="auto" w:fill="FFFFFF"/>
            <w:vAlign w:val="center"/>
          </w:tcPr>
          <w:p w14:paraId="277FCFC8">
            <w:pPr>
              <w:jc w:val="center"/>
              <w:rPr>
                <w:rFonts w:ascii="仿宋" w:hAnsi="仿宋" w:eastAsia="仿宋" w:cs="Times New Roman"/>
                <w:b/>
                <w:szCs w:val="21"/>
              </w:rPr>
            </w:pPr>
            <w:r>
              <w:rPr>
                <w:rFonts w:hint="eastAsia" w:ascii="仿宋" w:hAnsi="仿宋" w:eastAsia="仿宋" w:cs="Times New Roman"/>
                <w:b/>
                <w:szCs w:val="21"/>
              </w:rPr>
              <w:t>抵质押物情况</w:t>
            </w:r>
          </w:p>
        </w:tc>
        <w:tc>
          <w:tcPr>
            <w:tcW w:w="470" w:type="pct"/>
            <w:shd w:val="clear" w:color="auto" w:fill="FFFFFF"/>
            <w:vAlign w:val="center"/>
          </w:tcPr>
          <w:p w14:paraId="6D530618">
            <w:pPr>
              <w:jc w:val="center"/>
              <w:rPr>
                <w:rFonts w:ascii="仿宋" w:hAnsi="仿宋" w:eastAsia="仿宋" w:cs="Times New Roman"/>
                <w:b/>
                <w:szCs w:val="21"/>
              </w:rPr>
            </w:pPr>
            <w:r>
              <w:rPr>
                <w:rFonts w:hint="eastAsia" w:ascii="仿宋" w:hAnsi="仿宋" w:eastAsia="仿宋" w:cs="Times New Roman"/>
                <w:b/>
                <w:szCs w:val="21"/>
              </w:rPr>
              <w:t>保证人</w:t>
            </w:r>
          </w:p>
        </w:tc>
        <w:tc>
          <w:tcPr>
            <w:tcW w:w="379" w:type="pct"/>
            <w:shd w:val="clear" w:color="auto" w:fill="FFFFFF"/>
            <w:vAlign w:val="center"/>
          </w:tcPr>
          <w:p w14:paraId="251DA9C7">
            <w:pPr>
              <w:jc w:val="center"/>
              <w:rPr>
                <w:rFonts w:ascii="仿宋" w:hAnsi="仿宋" w:eastAsia="仿宋" w:cs="Times New Roman"/>
                <w:b/>
                <w:szCs w:val="21"/>
              </w:rPr>
            </w:pPr>
            <w:r>
              <w:rPr>
                <w:rFonts w:hint="eastAsia" w:ascii="仿宋" w:hAnsi="仿宋" w:eastAsia="仿宋" w:cs="Times New Roman"/>
                <w:b/>
                <w:szCs w:val="21"/>
              </w:rPr>
              <w:t>诉讼</w:t>
            </w:r>
          </w:p>
          <w:p w14:paraId="7E06EFDC">
            <w:pPr>
              <w:jc w:val="center"/>
              <w:rPr>
                <w:rFonts w:ascii="仿宋" w:hAnsi="仿宋" w:eastAsia="仿宋" w:cs="Times New Roman"/>
                <w:b/>
                <w:szCs w:val="21"/>
              </w:rPr>
            </w:pPr>
            <w:r>
              <w:rPr>
                <w:rFonts w:hint="eastAsia" w:ascii="仿宋" w:hAnsi="仿宋" w:eastAsia="仿宋" w:cs="Times New Roman"/>
                <w:b/>
                <w:szCs w:val="21"/>
              </w:rPr>
              <w:t>情况</w:t>
            </w:r>
          </w:p>
        </w:tc>
      </w:tr>
      <w:tr w14:paraId="6CEE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422" w:type="pct"/>
            <w:tcBorders>
              <w:top w:val="single" w:color="auto" w:sz="4" w:space="0"/>
              <w:left w:val="single" w:color="auto" w:sz="4" w:space="0"/>
              <w:bottom w:val="single" w:color="auto" w:sz="4" w:space="0"/>
              <w:right w:val="single" w:color="auto" w:sz="4" w:space="0"/>
            </w:tcBorders>
            <w:shd w:val="clear" w:color="auto" w:fill="auto"/>
            <w:vAlign w:val="center"/>
          </w:tcPr>
          <w:p w14:paraId="31457344">
            <w:pPr>
              <w:jc w:val="center"/>
              <w:rPr>
                <w:rFonts w:ascii="仿宋" w:hAnsi="仿宋" w:eastAsia="仿宋" w:cs="Times New Roman"/>
                <w:szCs w:val="21"/>
              </w:rPr>
            </w:pPr>
            <w:r>
              <w:rPr>
                <w:rFonts w:hint="eastAsia" w:ascii="仿宋" w:hAnsi="仿宋" w:eastAsia="仿宋"/>
                <w:color w:val="000000"/>
                <w:sz w:val="22"/>
              </w:rPr>
              <w:t>仁化县富民实业有限公司</w:t>
            </w:r>
          </w:p>
        </w:tc>
        <w:tc>
          <w:tcPr>
            <w:tcW w:w="505" w:type="pct"/>
            <w:tcBorders>
              <w:top w:val="single" w:color="auto" w:sz="4" w:space="0"/>
              <w:left w:val="single" w:color="auto" w:sz="4" w:space="0"/>
              <w:bottom w:val="single" w:color="auto" w:sz="4" w:space="0"/>
              <w:right w:val="single" w:color="auto" w:sz="4" w:space="0"/>
            </w:tcBorders>
            <w:shd w:val="clear" w:color="auto" w:fill="auto"/>
            <w:vAlign w:val="center"/>
          </w:tcPr>
          <w:p w14:paraId="5063C70D">
            <w:pPr>
              <w:jc w:val="center"/>
              <w:rPr>
                <w:rFonts w:ascii="仿宋" w:hAnsi="仿宋" w:eastAsia="仿宋" w:cs="Times New Roman"/>
                <w:szCs w:val="21"/>
              </w:rPr>
            </w:pPr>
            <w:r>
              <w:rPr>
                <w:rFonts w:hint="eastAsia" w:ascii="仿宋" w:hAnsi="仿宋" w:eastAsia="仿宋"/>
                <w:color w:val="000000"/>
                <w:sz w:val="22"/>
              </w:rPr>
              <w:t>5,163.34</w:t>
            </w:r>
          </w:p>
        </w:tc>
        <w:tc>
          <w:tcPr>
            <w:tcW w:w="602" w:type="pct"/>
            <w:tcBorders>
              <w:top w:val="single" w:color="auto" w:sz="4" w:space="0"/>
              <w:left w:val="nil"/>
              <w:bottom w:val="single" w:color="auto" w:sz="4" w:space="0"/>
              <w:right w:val="single" w:color="auto" w:sz="4" w:space="0"/>
            </w:tcBorders>
            <w:shd w:val="clear" w:color="auto" w:fill="auto"/>
            <w:vAlign w:val="center"/>
          </w:tcPr>
          <w:p w14:paraId="1ED82547">
            <w:pPr>
              <w:jc w:val="center"/>
              <w:rPr>
                <w:rFonts w:ascii="仿宋" w:hAnsi="仿宋" w:eastAsia="仿宋"/>
              </w:rPr>
            </w:pPr>
            <w:r>
              <w:rPr>
                <w:rFonts w:hint="eastAsia" w:ascii="仿宋" w:hAnsi="仿宋" w:eastAsia="仿宋"/>
                <w:color w:val="000000"/>
                <w:sz w:val="22"/>
              </w:rPr>
              <w:t>3,519.52</w:t>
            </w:r>
          </w:p>
        </w:tc>
        <w:tc>
          <w:tcPr>
            <w:tcW w:w="505" w:type="pct"/>
            <w:tcBorders>
              <w:top w:val="single" w:color="auto" w:sz="4" w:space="0"/>
              <w:left w:val="nil"/>
              <w:bottom w:val="single" w:color="auto" w:sz="4" w:space="0"/>
              <w:right w:val="single" w:color="auto" w:sz="4" w:space="0"/>
            </w:tcBorders>
            <w:shd w:val="clear" w:color="auto" w:fill="auto"/>
            <w:vAlign w:val="center"/>
          </w:tcPr>
          <w:p w14:paraId="640E3B34">
            <w:pPr>
              <w:jc w:val="center"/>
              <w:rPr>
                <w:rFonts w:ascii="仿宋" w:hAnsi="仿宋" w:eastAsia="仿宋" w:cs="Times New Roman"/>
                <w:szCs w:val="21"/>
              </w:rPr>
            </w:pPr>
            <w:r>
              <w:rPr>
                <w:rFonts w:hint="eastAsia" w:ascii="仿宋" w:hAnsi="仿宋" w:eastAsia="仿宋"/>
                <w:color w:val="000000"/>
                <w:sz w:val="22"/>
              </w:rPr>
              <w:t>1,922.28</w:t>
            </w:r>
          </w:p>
        </w:tc>
        <w:tc>
          <w:tcPr>
            <w:tcW w:w="395" w:type="pct"/>
            <w:tcBorders>
              <w:top w:val="single" w:color="auto" w:sz="4" w:space="0"/>
              <w:left w:val="nil"/>
              <w:bottom w:val="single" w:color="auto" w:sz="4" w:space="0"/>
              <w:right w:val="single" w:color="auto" w:sz="4" w:space="0"/>
            </w:tcBorders>
            <w:shd w:val="clear" w:color="auto" w:fill="auto"/>
            <w:vAlign w:val="center"/>
          </w:tcPr>
          <w:p w14:paraId="339DDA67">
            <w:pPr>
              <w:jc w:val="center"/>
              <w:rPr>
                <w:rFonts w:ascii="仿宋" w:hAnsi="仿宋" w:eastAsia="仿宋" w:cs="Times New Roman"/>
                <w:szCs w:val="21"/>
              </w:rPr>
            </w:pPr>
            <w:r>
              <w:rPr>
                <w:rFonts w:hint="eastAsia" w:ascii="仿宋" w:hAnsi="仿宋" w:eastAsia="仿宋"/>
                <w:color w:val="000000"/>
                <w:sz w:val="22"/>
              </w:rPr>
              <w:t>38.48</w:t>
            </w:r>
          </w:p>
        </w:tc>
        <w:tc>
          <w:tcPr>
            <w:tcW w:w="556" w:type="pct"/>
            <w:tcBorders>
              <w:top w:val="single" w:color="auto" w:sz="4" w:space="0"/>
              <w:left w:val="nil"/>
              <w:bottom w:val="single" w:color="auto" w:sz="4" w:space="0"/>
              <w:right w:val="single" w:color="auto" w:sz="4" w:space="0"/>
            </w:tcBorders>
            <w:shd w:val="clear" w:color="auto" w:fill="auto"/>
            <w:vAlign w:val="center"/>
          </w:tcPr>
          <w:p w14:paraId="651AC951">
            <w:pPr>
              <w:jc w:val="center"/>
              <w:rPr>
                <w:rFonts w:ascii="仿宋" w:hAnsi="仿宋" w:eastAsia="仿宋" w:cs="Times New Roman"/>
                <w:szCs w:val="21"/>
              </w:rPr>
            </w:pPr>
            <w:r>
              <w:rPr>
                <w:rFonts w:hint="eastAsia" w:ascii="仿宋" w:hAnsi="仿宋" w:eastAsia="仿宋"/>
                <w:color w:val="000000"/>
                <w:sz w:val="22"/>
              </w:rPr>
              <w:t>10,643.63</w:t>
            </w:r>
          </w:p>
        </w:tc>
        <w:tc>
          <w:tcPr>
            <w:tcW w:w="1165" w:type="pct"/>
            <w:tcBorders>
              <w:top w:val="single" w:color="auto" w:sz="4" w:space="0"/>
              <w:left w:val="single" w:color="auto" w:sz="4" w:space="0"/>
              <w:bottom w:val="single" w:color="auto" w:sz="4" w:space="0"/>
              <w:right w:val="single" w:color="auto" w:sz="4" w:space="0"/>
            </w:tcBorders>
            <w:shd w:val="clear" w:color="auto" w:fill="auto"/>
            <w:vAlign w:val="center"/>
          </w:tcPr>
          <w:p w14:paraId="3BB7B193">
            <w:pPr>
              <w:jc w:val="left"/>
              <w:rPr>
                <w:rFonts w:ascii="仿宋" w:hAnsi="仿宋" w:eastAsia="仿宋" w:cs="Times New Roman"/>
                <w:szCs w:val="21"/>
              </w:rPr>
            </w:pPr>
            <w:r>
              <w:rPr>
                <w:rFonts w:hint="eastAsia" w:ascii="仿宋" w:hAnsi="仿宋" w:eastAsia="仿宋"/>
                <w:color w:val="000000"/>
                <w:sz w:val="22"/>
              </w:rPr>
              <w:t>债务人名下位于仁化县丹霞山门左侧原金霞小区红锦湾旅游度假养老养生大酒店A、C、D幢的房产，抵押物面积合计11,691.29㎡。</w:t>
            </w:r>
          </w:p>
        </w:tc>
        <w:tc>
          <w:tcPr>
            <w:tcW w:w="470" w:type="pct"/>
            <w:tcBorders>
              <w:top w:val="single" w:color="auto" w:sz="4" w:space="0"/>
              <w:left w:val="nil"/>
              <w:bottom w:val="single" w:color="auto" w:sz="4" w:space="0"/>
              <w:right w:val="single" w:color="auto" w:sz="4" w:space="0"/>
            </w:tcBorders>
            <w:shd w:val="clear" w:color="auto" w:fill="auto"/>
            <w:vAlign w:val="center"/>
          </w:tcPr>
          <w:p w14:paraId="11242926">
            <w:pPr>
              <w:jc w:val="center"/>
              <w:rPr>
                <w:rFonts w:ascii="仿宋" w:hAnsi="仿宋" w:eastAsia="仿宋" w:cs="Times New Roman"/>
                <w:szCs w:val="21"/>
              </w:rPr>
            </w:pPr>
            <w:r>
              <w:rPr>
                <w:rFonts w:hint="eastAsia" w:ascii="仿宋" w:hAnsi="仿宋" w:eastAsia="仿宋"/>
                <w:color w:val="000000"/>
                <w:sz w:val="22"/>
              </w:rPr>
              <w:t>黄伟江、王霞、段云生、钟秋芳</w:t>
            </w:r>
          </w:p>
        </w:tc>
        <w:tc>
          <w:tcPr>
            <w:tcW w:w="379" w:type="pct"/>
            <w:tcBorders>
              <w:top w:val="single" w:color="auto" w:sz="4" w:space="0"/>
              <w:left w:val="nil"/>
              <w:bottom w:val="single" w:color="auto" w:sz="4" w:space="0"/>
              <w:right w:val="single" w:color="auto" w:sz="4" w:space="0"/>
            </w:tcBorders>
            <w:shd w:val="clear" w:color="auto" w:fill="auto"/>
            <w:vAlign w:val="center"/>
          </w:tcPr>
          <w:p w14:paraId="334B5AFE">
            <w:pPr>
              <w:jc w:val="left"/>
              <w:rPr>
                <w:rFonts w:ascii="仿宋" w:hAnsi="仿宋" w:eastAsia="仿宋" w:cs="Times New Roman"/>
                <w:szCs w:val="21"/>
              </w:rPr>
            </w:pPr>
            <w:r>
              <w:rPr>
                <w:rFonts w:hint="eastAsia" w:ascii="仿宋" w:hAnsi="仿宋" w:eastAsia="仿宋"/>
                <w:color w:val="000000"/>
                <w:sz w:val="22"/>
              </w:rPr>
              <w:t>破产</w:t>
            </w:r>
          </w:p>
        </w:tc>
      </w:tr>
      <w:tr w14:paraId="57FA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422" w:type="pct"/>
            <w:tcBorders>
              <w:top w:val="nil"/>
              <w:left w:val="single" w:color="auto" w:sz="4" w:space="0"/>
              <w:bottom w:val="single" w:color="auto" w:sz="4" w:space="0"/>
              <w:right w:val="single" w:color="auto" w:sz="4" w:space="0"/>
            </w:tcBorders>
            <w:shd w:val="clear" w:color="auto" w:fill="auto"/>
            <w:vAlign w:val="center"/>
          </w:tcPr>
          <w:p w14:paraId="15A321C9">
            <w:pPr>
              <w:jc w:val="center"/>
              <w:rPr>
                <w:rFonts w:hint="eastAsia" w:ascii="仿宋" w:hAnsi="仿宋" w:eastAsia="仿宋" w:cs="Times New Roman"/>
                <w:szCs w:val="21"/>
              </w:rPr>
            </w:pPr>
            <w:r>
              <w:rPr>
                <w:rFonts w:hint="eastAsia" w:ascii="仿宋" w:hAnsi="仿宋" w:eastAsia="仿宋"/>
                <w:color w:val="000000"/>
                <w:sz w:val="22"/>
              </w:rPr>
              <w:t>仁化县和兴实业投资有限公司</w:t>
            </w:r>
          </w:p>
        </w:tc>
        <w:tc>
          <w:tcPr>
            <w:tcW w:w="505" w:type="pct"/>
            <w:tcBorders>
              <w:top w:val="nil"/>
              <w:left w:val="single" w:color="auto" w:sz="4" w:space="0"/>
              <w:bottom w:val="single" w:color="auto" w:sz="4" w:space="0"/>
              <w:right w:val="single" w:color="auto" w:sz="4" w:space="0"/>
            </w:tcBorders>
            <w:shd w:val="clear" w:color="auto" w:fill="auto"/>
            <w:vAlign w:val="center"/>
          </w:tcPr>
          <w:p w14:paraId="2E53CF0C">
            <w:pPr>
              <w:jc w:val="center"/>
              <w:rPr>
                <w:rFonts w:ascii="仿宋" w:hAnsi="仿宋" w:eastAsia="仿宋" w:cs="Times New Roman"/>
                <w:szCs w:val="21"/>
              </w:rPr>
            </w:pPr>
            <w:r>
              <w:rPr>
                <w:rFonts w:hint="eastAsia" w:ascii="仿宋" w:hAnsi="仿宋" w:eastAsia="仿宋"/>
                <w:color w:val="000000"/>
                <w:sz w:val="22"/>
              </w:rPr>
              <w:t>1,700.00</w:t>
            </w:r>
          </w:p>
        </w:tc>
        <w:tc>
          <w:tcPr>
            <w:tcW w:w="602" w:type="pct"/>
            <w:tcBorders>
              <w:top w:val="nil"/>
              <w:left w:val="nil"/>
              <w:bottom w:val="single" w:color="auto" w:sz="4" w:space="0"/>
              <w:right w:val="single" w:color="auto" w:sz="4" w:space="0"/>
            </w:tcBorders>
            <w:shd w:val="clear" w:color="auto" w:fill="auto"/>
            <w:vAlign w:val="center"/>
          </w:tcPr>
          <w:p w14:paraId="603ACD95">
            <w:pPr>
              <w:jc w:val="center"/>
              <w:rPr>
                <w:rFonts w:ascii="仿宋" w:hAnsi="仿宋" w:eastAsia="仿宋"/>
              </w:rPr>
            </w:pPr>
            <w:r>
              <w:rPr>
                <w:rFonts w:hint="eastAsia" w:ascii="仿宋" w:hAnsi="仿宋" w:eastAsia="仿宋"/>
                <w:color w:val="000000"/>
                <w:sz w:val="22"/>
              </w:rPr>
              <w:t>1,617.36</w:t>
            </w:r>
          </w:p>
        </w:tc>
        <w:tc>
          <w:tcPr>
            <w:tcW w:w="505" w:type="pct"/>
            <w:tcBorders>
              <w:top w:val="nil"/>
              <w:left w:val="nil"/>
              <w:bottom w:val="single" w:color="auto" w:sz="4" w:space="0"/>
              <w:right w:val="single" w:color="auto" w:sz="4" w:space="0"/>
            </w:tcBorders>
            <w:shd w:val="clear" w:color="auto" w:fill="auto"/>
            <w:vAlign w:val="center"/>
          </w:tcPr>
          <w:p w14:paraId="19AA285D">
            <w:pPr>
              <w:jc w:val="center"/>
              <w:rPr>
                <w:rFonts w:ascii="仿宋" w:hAnsi="仿宋" w:eastAsia="仿宋" w:cs="Times New Roman"/>
                <w:szCs w:val="21"/>
              </w:rPr>
            </w:pPr>
            <w:r>
              <w:rPr>
                <w:rFonts w:hint="eastAsia" w:ascii="仿宋" w:hAnsi="仿宋" w:eastAsia="仿宋"/>
                <w:color w:val="000000"/>
                <w:sz w:val="22"/>
              </w:rPr>
              <w:t>697.64</w:t>
            </w:r>
          </w:p>
        </w:tc>
        <w:tc>
          <w:tcPr>
            <w:tcW w:w="395" w:type="pct"/>
            <w:tcBorders>
              <w:top w:val="nil"/>
              <w:left w:val="nil"/>
              <w:bottom w:val="single" w:color="auto" w:sz="4" w:space="0"/>
              <w:right w:val="single" w:color="auto" w:sz="4" w:space="0"/>
            </w:tcBorders>
            <w:shd w:val="clear" w:color="auto" w:fill="auto"/>
            <w:vAlign w:val="center"/>
          </w:tcPr>
          <w:p w14:paraId="4AEDBF3F">
            <w:pPr>
              <w:jc w:val="center"/>
              <w:rPr>
                <w:rFonts w:ascii="仿宋" w:hAnsi="仿宋" w:eastAsia="仿宋" w:cs="Times New Roman"/>
                <w:szCs w:val="21"/>
              </w:rPr>
            </w:pPr>
            <w:r>
              <w:rPr>
                <w:rFonts w:hint="eastAsia" w:ascii="仿宋" w:hAnsi="仿宋" w:eastAsia="仿宋"/>
                <w:color w:val="000000"/>
                <w:sz w:val="22"/>
              </w:rPr>
              <w:t>12.96</w:t>
            </w:r>
          </w:p>
        </w:tc>
        <w:tc>
          <w:tcPr>
            <w:tcW w:w="556" w:type="pct"/>
            <w:tcBorders>
              <w:top w:val="nil"/>
              <w:left w:val="nil"/>
              <w:bottom w:val="single" w:color="auto" w:sz="4" w:space="0"/>
              <w:right w:val="single" w:color="auto" w:sz="4" w:space="0"/>
            </w:tcBorders>
            <w:shd w:val="clear" w:color="auto" w:fill="auto"/>
            <w:vAlign w:val="center"/>
          </w:tcPr>
          <w:p w14:paraId="1DCE9FDE">
            <w:pPr>
              <w:jc w:val="center"/>
              <w:rPr>
                <w:rFonts w:ascii="仿宋" w:hAnsi="仿宋" w:eastAsia="仿宋" w:cs="Times New Roman"/>
                <w:szCs w:val="21"/>
              </w:rPr>
            </w:pPr>
            <w:r>
              <w:rPr>
                <w:rFonts w:hint="eastAsia" w:ascii="仿宋" w:hAnsi="仿宋" w:eastAsia="仿宋"/>
                <w:color w:val="000000"/>
                <w:sz w:val="22"/>
              </w:rPr>
              <w:t>4,027.95</w:t>
            </w:r>
          </w:p>
        </w:tc>
        <w:tc>
          <w:tcPr>
            <w:tcW w:w="1165" w:type="pct"/>
            <w:tcBorders>
              <w:top w:val="nil"/>
              <w:left w:val="single" w:color="auto" w:sz="4" w:space="0"/>
              <w:bottom w:val="single" w:color="auto" w:sz="4" w:space="0"/>
              <w:right w:val="single" w:color="auto" w:sz="4" w:space="0"/>
            </w:tcBorders>
            <w:shd w:val="clear" w:color="auto" w:fill="auto"/>
            <w:vAlign w:val="center"/>
          </w:tcPr>
          <w:p w14:paraId="1AD7C22C">
            <w:pPr>
              <w:jc w:val="left"/>
              <w:rPr>
                <w:rFonts w:hint="eastAsia" w:ascii="仿宋" w:hAnsi="仿宋" w:eastAsia="仿宋" w:cs="Times New Roman"/>
                <w:szCs w:val="21"/>
              </w:rPr>
            </w:pPr>
            <w:r>
              <w:rPr>
                <w:rFonts w:hint="eastAsia" w:ascii="仿宋" w:hAnsi="仿宋" w:eastAsia="仿宋"/>
                <w:color w:val="000000"/>
                <w:sz w:val="22"/>
              </w:rPr>
              <w:t>1.债务人名下位于仁化县丹霞开发区金霞小区C面（丹霞山北门水上入口服务区）商业街32宗商铺，建筑面积合计1,504.97㎡(已处置未回款)；</w:t>
            </w:r>
            <w:r>
              <w:rPr>
                <w:rFonts w:hint="eastAsia" w:ascii="仿宋" w:hAnsi="仿宋" w:eastAsia="仿宋"/>
                <w:color w:val="000000"/>
                <w:sz w:val="22"/>
              </w:rPr>
              <w:br w:type="textWrapping"/>
            </w:r>
            <w:r>
              <w:rPr>
                <w:rFonts w:hint="eastAsia" w:ascii="仿宋" w:hAnsi="仿宋" w:eastAsia="仿宋"/>
                <w:color w:val="000000"/>
                <w:sz w:val="22"/>
              </w:rPr>
              <w:t>2.债务人名下位于仁化县丹霞开发区金霞小区C面（丹霞山北门水上入口服务区）商业街第二层G、F区，建筑面积合计788.83㎡(已处置未回款)；</w:t>
            </w:r>
            <w:r>
              <w:rPr>
                <w:rFonts w:hint="eastAsia" w:ascii="仿宋" w:hAnsi="仿宋" w:eastAsia="仿宋"/>
                <w:color w:val="000000"/>
                <w:sz w:val="22"/>
              </w:rPr>
              <w:br w:type="textWrapping"/>
            </w:r>
            <w:r>
              <w:rPr>
                <w:rFonts w:hint="eastAsia" w:ascii="仿宋" w:hAnsi="仿宋" w:eastAsia="仿宋"/>
                <w:color w:val="000000"/>
                <w:sz w:val="22"/>
              </w:rPr>
              <w:t>3.仁化县富民实业有限公司名下位于仁化县丹霞山门左侧原金霞小区B幢首层2号，建筑面积91.89㎡；</w:t>
            </w:r>
            <w:r>
              <w:rPr>
                <w:rFonts w:hint="eastAsia" w:ascii="仿宋" w:hAnsi="仿宋" w:eastAsia="仿宋"/>
                <w:color w:val="000000"/>
                <w:sz w:val="22"/>
              </w:rPr>
              <w:br w:type="textWrapping"/>
            </w:r>
            <w:r>
              <w:rPr>
                <w:rFonts w:hint="eastAsia" w:ascii="仿宋" w:hAnsi="仿宋" w:eastAsia="仿宋"/>
                <w:color w:val="000000"/>
                <w:sz w:val="22"/>
              </w:rPr>
              <w:t>4.黄益琳名下位于仁化县丹霞开发区金霞小区A1栋，建筑面积361.71㎡。</w:t>
            </w:r>
          </w:p>
        </w:tc>
        <w:tc>
          <w:tcPr>
            <w:tcW w:w="470" w:type="pct"/>
            <w:tcBorders>
              <w:top w:val="nil"/>
              <w:left w:val="nil"/>
              <w:bottom w:val="single" w:color="auto" w:sz="4" w:space="0"/>
              <w:right w:val="single" w:color="auto" w:sz="4" w:space="0"/>
            </w:tcBorders>
            <w:shd w:val="clear" w:color="auto" w:fill="auto"/>
            <w:vAlign w:val="center"/>
          </w:tcPr>
          <w:p w14:paraId="6240C023">
            <w:pPr>
              <w:jc w:val="center"/>
              <w:rPr>
                <w:rFonts w:hint="eastAsia" w:ascii="仿宋" w:hAnsi="仿宋" w:eastAsia="仿宋"/>
              </w:rPr>
            </w:pPr>
            <w:r>
              <w:rPr>
                <w:rFonts w:hint="eastAsia" w:ascii="仿宋" w:hAnsi="仿宋" w:eastAsia="仿宋"/>
                <w:color w:val="000000"/>
                <w:sz w:val="22"/>
              </w:rPr>
              <w:t>仁化县富民实业有限公司、黄益琳、吕凤萍、宦忠义</w:t>
            </w:r>
          </w:p>
        </w:tc>
        <w:tc>
          <w:tcPr>
            <w:tcW w:w="379" w:type="pct"/>
            <w:tcBorders>
              <w:top w:val="nil"/>
              <w:left w:val="nil"/>
              <w:bottom w:val="single" w:color="auto" w:sz="4" w:space="0"/>
              <w:right w:val="single" w:color="auto" w:sz="4" w:space="0"/>
            </w:tcBorders>
            <w:shd w:val="clear" w:color="auto" w:fill="auto"/>
            <w:vAlign w:val="center"/>
          </w:tcPr>
          <w:p w14:paraId="6917FAB8">
            <w:pPr>
              <w:jc w:val="left"/>
              <w:rPr>
                <w:rFonts w:hint="eastAsia" w:ascii="仿宋" w:hAnsi="仿宋" w:eastAsia="仿宋" w:cs="Times New Roman"/>
                <w:szCs w:val="21"/>
              </w:rPr>
            </w:pPr>
            <w:r>
              <w:rPr>
                <w:rFonts w:hint="eastAsia" w:ascii="仿宋" w:hAnsi="仿宋" w:eastAsia="仿宋"/>
                <w:color w:val="000000"/>
                <w:sz w:val="22"/>
              </w:rPr>
              <w:t>破产</w:t>
            </w:r>
          </w:p>
        </w:tc>
      </w:tr>
      <w:tr w14:paraId="7914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422" w:type="pct"/>
            <w:tcBorders>
              <w:top w:val="single" w:color="auto" w:sz="4" w:space="0"/>
              <w:left w:val="single" w:color="auto" w:sz="4" w:space="0"/>
              <w:bottom w:val="single" w:color="auto" w:sz="4" w:space="0"/>
              <w:right w:val="single" w:color="auto" w:sz="4" w:space="0"/>
            </w:tcBorders>
            <w:shd w:val="clear" w:color="auto" w:fill="auto"/>
            <w:vAlign w:val="center"/>
          </w:tcPr>
          <w:p w14:paraId="22E330E3">
            <w:pPr>
              <w:jc w:val="center"/>
              <w:rPr>
                <w:rFonts w:hint="eastAsia" w:ascii="仿宋" w:hAnsi="仿宋" w:eastAsia="仿宋" w:cs="Times New Roman"/>
                <w:szCs w:val="21"/>
              </w:rPr>
            </w:pPr>
            <w:r>
              <w:rPr>
                <w:rFonts w:hint="eastAsia" w:ascii="仿宋" w:hAnsi="仿宋" w:eastAsia="仿宋"/>
                <w:color w:val="000000"/>
                <w:sz w:val="22"/>
              </w:rPr>
              <w:t>韶关锦</w:t>
            </w:r>
            <w:bookmarkStart w:id="1" w:name="_GoBack"/>
            <w:bookmarkEnd w:id="1"/>
            <w:r>
              <w:rPr>
                <w:rFonts w:hint="eastAsia" w:ascii="仿宋" w:hAnsi="仿宋" w:eastAsia="仿宋"/>
                <w:color w:val="000000"/>
                <w:sz w:val="22"/>
              </w:rPr>
              <w:t>水湾酒店管理有限公司</w:t>
            </w:r>
          </w:p>
        </w:tc>
        <w:tc>
          <w:tcPr>
            <w:tcW w:w="1103" w:type="dxa"/>
            <w:tcBorders>
              <w:top w:val="nil"/>
              <w:left w:val="single" w:color="auto" w:sz="4" w:space="0"/>
              <w:bottom w:val="single" w:color="auto" w:sz="4" w:space="0"/>
              <w:right w:val="single" w:color="auto" w:sz="4" w:space="0"/>
            </w:tcBorders>
            <w:shd w:val="clear" w:color="auto" w:fill="auto"/>
            <w:vAlign w:val="center"/>
          </w:tcPr>
          <w:p w14:paraId="00D73F19">
            <w:pPr>
              <w:jc w:val="center"/>
              <w:rPr>
                <w:rFonts w:hint="eastAsia" w:ascii="仿宋" w:hAnsi="仿宋" w:eastAsia="仿宋"/>
                <w:color w:val="000000"/>
                <w:sz w:val="22"/>
              </w:rPr>
            </w:pPr>
            <w:r>
              <w:rPr>
                <w:rFonts w:hint="eastAsia" w:ascii="仿宋" w:hAnsi="仿宋" w:eastAsia="仿宋"/>
                <w:color w:val="000000"/>
                <w:sz w:val="22"/>
              </w:rPr>
              <w:t>393.21</w:t>
            </w:r>
          </w:p>
        </w:tc>
        <w:tc>
          <w:tcPr>
            <w:tcW w:w="1313" w:type="dxa"/>
            <w:tcBorders>
              <w:top w:val="nil"/>
              <w:left w:val="nil"/>
              <w:bottom w:val="single" w:color="auto" w:sz="4" w:space="0"/>
              <w:right w:val="single" w:color="auto" w:sz="4" w:space="0"/>
            </w:tcBorders>
            <w:shd w:val="clear" w:color="auto" w:fill="auto"/>
            <w:vAlign w:val="center"/>
          </w:tcPr>
          <w:p w14:paraId="5C9C5242">
            <w:pPr>
              <w:jc w:val="center"/>
              <w:rPr>
                <w:rFonts w:hint="eastAsia" w:ascii="仿宋" w:hAnsi="仿宋" w:eastAsia="仿宋"/>
                <w:color w:val="000000"/>
                <w:sz w:val="22"/>
              </w:rPr>
            </w:pPr>
            <w:r>
              <w:rPr>
                <w:rFonts w:hint="eastAsia" w:ascii="仿宋" w:hAnsi="仿宋" w:eastAsia="仿宋"/>
                <w:color w:val="000000"/>
                <w:sz w:val="22"/>
              </w:rPr>
              <w:t>400.61</w:t>
            </w:r>
          </w:p>
        </w:tc>
        <w:tc>
          <w:tcPr>
            <w:tcW w:w="1103" w:type="dxa"/>
            <w:tcBorders>
              <w:top w:val="nil"/>
              <w:left w:val="nil"/>
              <w:bottom w:val="single" w:color="auto" w:sz="4" w:space="0"/>
              <w:right w:val="single" w:color="auto" w:sz="4" w:space="0"/>
            </w:tcBorders>
            <w:shd w:val="clear" w:color="auto" w:fill="auto"/>
            <w:vAlign w:val="center"/>
          </w:tcPr>
          <w:p w14:paraId="09089922">
            <w:pPr>
              <w:jc w:val="center"/>
              <w:rPr>
                <w:rFonts w:hint="eastAsia" w:ascii="仿宋" w:hAnsi="仿宋" w:eastAsia="仿宋"/>
                <w:color w:val="000000"/>
                <w:sz w:val="22"/>
              </w:rPr>
            </w:pPr>
            <w:r>
              <w:rPr>
                <w:rFonts w:hint="eastAsia" w:ascii="仿宋" w:hAnsi="仿宋" w:eastAsia="仿宋"/>
                <w:color w:val="000000"/>
                <w:sz w:val="22"/>
              </w:rPr>
              <w:t>184.00</w:t>
            </w:r>
          </w:p>
        </w:tc>
        <w:tc>
          <w:tcPr>
            <w:tcW w:w="862" w:type="dxa"/>
            <w:tcBorders>
              <w:top w:val="nil"/>
              <w:left w:val="nil"/>
              <w:bottom w:val="single" w:color="auto" w:sz="4" w:space="0"/>
              <w:right w:val="single" w:color="auto" w:sz="4" w:space="0"/>
            </w:tcBorders>
            <w:shd w:val="clear" w:color="auto" w:fill="auto"/>
            <w:vAlign w:val="center"/>
          </w:tcPr>
          <w:p w14:paraId="740CA64F">
            <w:pPr>
              <w:jc w:val="center"/>
              <w:rPr>
                <w:rFonts w:hint="eastAsia" w:ascii="仿宋" w:hAnsi="仿宋" w:eastAsia="仿宋"/>
                <w:color w:val="000000"/>
                <w:sz w:val="22"/>
              </w:rPr>
            </w:pPr>
            <w:r>
              <w:rPr>
                <w:rFonts w:hint="eastAsia" w:ascii="仿宋" w:hAnsi="仿宋" w:eastAsia="仿宋"/>
                <w:color w:val="000000"/>
                <w:sz w:val="22"/>
              </w:rPr>
              <w:t>-</w:t>
            </w:r>
          </w:p>
        </w:tc>
        <w:tc>
          <w:tcPr>
            <w:tcW w:w="1214" w:type="dxa"/>
            <w:tcBorders>
              <w:top w:val="nil"/>
              <w:left w:val="nil"/>
              <w:bottom w:val="single" w:color="auto" w:sz="4" w:space="0"/>
              <w:right w:val="single" w:color="auto" w:sz="4" w:space="0"/>
            </w:tcBorders>
            <w:shd w:val="clear" w:color="auto" w:fill="auto"/>
            <w:vAlign w:val="center"/>
          </w:tcPr>
          <w:p w14:paraId="2455256E">
            <w:pPr>
              <w:jc w:val="center"/>
              <w:rPr>
                <w:rFonts w:hint="eastAsia" w:ascii="仿宋" w:hAnsi="仿宋" w:eastAsia="仿宋"/>
                <w:color w:val="000000"/>
                <w:sz w:val="22"/>
              </w:rPr>
            </w:pPr>
            <w:r>
              <w:rPr>
                <w:rFonts w:hint="eastAsia" w:ascii="仿宋" w:hAnsi="仿宋" w:eastAsia="仿宋"/>
                <w:color w:val="000000"/>
                <w:sz w:val="22"/>
              </w:rPr>
              <w:t>977.83</w:t>
            </w:r>
          </w:p>
        </w:tc>
        <w:tc>
          <w:tcPr>
            <w:tcW w:w="1165" w:type="pct"/>
            <w:tcBorders>
              <w:top w:val="nil"/>
              <w:left w:val="single" w:color="auto" w:sz="4" w:space="0"/>
              <w:bottom w:val="single" w:color="auto" w:sz="4" w:space="0"/>
              <w:right w:val="single" w:color="auto" w:sz="4" w:space="0"/>
            </w:tcBorders>
            <w:shd w:val="clear" w:color="auto" w:fill="auto"/>
            <w:vAlign w:val="center"/>
          </w:tcPr>
          <w:p w14:paraId="7189A2D5">
            <w:pPr>
              <w:jc w:val="left"/>
              <w:rPr>
                <w:rFonts w:hint="eastAsia" w:ascii="仿宋" w:hAnsi="仿宋" w:eastAsia="仿宋" w:cs="Times New Roman"/>
                <w:szCs w:val="21"/>
              </w:rPr>
            </w:pPr>
            <w:r>
              <w:rPr>
                <w:rFonts w:hint="eastAsia" w:ascii="仿宋" w:hAnsi="仿宋" w:eastAsia="仿宋"/>
                <w:color w:val="000000"/>
                <w:sz w:val="22"/>
              </w:rPr>
              <w:t>仁化县和兴实业投资有限公司名下位于仁化县丹霞开发区金霞小区C面丹霞山北门水上入口综合服务区A幢第三层，抵押物面积1,980.18㎡(已处置未回款)。</w:t>
            </w:r>
          </w:p>
        </w:tc>
        <w:tc>
          <w:tcPr>
            <w:tcW w:w="470" w:type="pct"/>
            <w:tcBorders>
              <w:top w:val="nil"/>
              <w:left w:val="nil"/>
              <w:bottom w:val="single" w:color="auto" w:sz="4" w:space="0"/>
              <w:right w:val="single" w:color="auto" w:sz="4" w:space="0"/>
            </w:tcBorders>
            <w:shd w:val="clear" w:color="auto" w:fill="auto"/>
            <w:vAlign w:val="center"/>
          </w:tcPr>
          <w:p w14:paraId="4838B639">
            <w:pPr>
              <w:jc w:val="center"/>
              <w:rPr>
                <w:rFonts w:hint="eastAsia" w:ascii="仿宋" w:hAnsi="仿宋" w:eastAsia="仿宋"/>
              </w:rPr>
            </w:pPr>
            <w:r>
              <w:rPr>
                <w:rFonts w:hint="eastAsia" w:ascii="仿宋" w:hAnsi="仿宋" w:eastAsia="仿宋"/>
                <w:color w:val="000000"/>
                <w:sz w:val="22"/>
              </w:rPr>
              <w:t>韩远富、黄益琳、吕宝康、吕凤萍</w:t>
            </w:r>
          </w:p>
        </w:tc>
        <w:tc>
          <w:tcPr>
            <w:tcW w:w="379" w:type="pct"/>
            <w:tcBorders>
              <w:top w:val="nil"/>
              <w:left w:val="nil"/>
              <w:bottom w:val="single" w:color="auto" w:sz="4" w:space="0"/>
              <w:right w:val="single" w:color="auto" w:sz="4" w:space="0"/>
            </w:tcBorders>
            <w:shd w:val="clear" w:color="auto" w:fill="auto"/>
            <w:vAlign w:val="center"/>
          </w:tcPr>
          <w:p w14:paraId="42B37176">
            <w:pPr>
              <w:jc w:val="left"/>
              <w:rPr>
                <w:rFonts w:hint="default" w:ascii="仿宋" w:hAnsi="仿宋" w:eastAsia="仿宋" w:cs="Times New Roman"/>
                <w:szCs w:val="21"/>
                <w:lang w:val="en-US" w:eastAsia="zh-CN"/>
              </w:rPr>
            </w:pPr>
            <w:r>
              <w:rPr>
                <w:rFonts w:hint="eastAsia" w:ascii="仿宋" w:hAnsi="仿宋" w:eastAsia="仿宋" w:cs="Times New Roman"/>
                <w:szCs w:val="21"/>
                <w:lang w:val="en-US" w:eastAsia="zh-CN"/>
              </w:rPr>
              <w:t>破产</w:t>
            </w:r>
          </w:p>
        </w:tc>
      </w:tr>
      <w:tr w14:paraId="694C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jc w:val="center"/>
        </w:trPr>
        <w:tc>
          <w:tcPr>
            <w:tcW w:w="422" w:type="pct"/>
            <w:tcBorders>
              <w:top w:val="single" w:color="auto" w:sz="4" w:space="0"/>
              <w:left w:val="single" w:color="auto" w:sz="4" w:space="0"/>
              <w:bottom w:val="single" w:color="auto" w:sz="4" w:space="0"/>
              <w:right w:val="single" w:color="auto" w:sz="4" w:space="0"/>
            </w:tcBorders>
            <w:shd w:val="clear" w:color="auto" w:fill="auto"/>
            <w:vAlign w:val="center"/>
          </w:tcPr>
          <w:p w14:paraId="25A00CDC">
            <w:pPr>
              <w:jc w:val="center"/>
              <w:rPr>
                <w:rFonts w:hint="eastAsia" w:ascii="仿宋" w:hAnsi="仿宋" w:eastAsia="仿宋"/>
                <w:color w:val="000000"/>
                <w:sz w:val="22"/>
              </w:rPr>
            </w:pPr>
            <w:r>
              <w:rPr>
                <w:rFonts w:hint="eastAsia" w:ascii="仿宋" w:hAnsi="仿宋" w:eastAsia="仿宋"/>
                <w:color w:val="000000"/>
                <w:sz w:val="22"/>
              </w:rPr>
              <w:t>合计</w:t>
            </w:r>
          </w:p>
        </w:tc>
        <w:tc>
          <w:tcPr>
            <w:tcW w:w="1103" w:type="dxa"/>
            <w:tcBorders>
              <w:top w:val="nil"/>
              <w:left w:val="single" w:color="auto" w:sz="4" w:space="0"/>
              <w:bottom w:val="single" w:color="auto" w:sz="4" w:space="0"/>
              <w:right w:val="single" w:color="auto" w:sz="4" w:space="0"/>
            </w:tcBorders>
            <w:shd w:val="clear" w:color="auto" w:fill="auto"/>
            <w:vAlign w:val="center"/>
          </w:tcPr>
          <w:p w14:paraId="081A1CD5">
            <w:pPr>
              <w:jc w:val="center"/>
              <w:rPr>
                <w:rFonts w:hint="eastAsia" w:ascii="仿宋" w:hAnsi="仿宋" w:eastAsia="仿宋"/>
                <w:b/>
                <w:bCs/>
                <w:color w:val="000000"/>
                <w:sz w:val="22"/>
              </w:rPr>
            </w:pPr>
            <w:r>
              <w:rPr>
                <w:rFonts w:hint="eastAsia" w:ascii="仿宋" w:hAnsi="仿宋" w:eastAsia="仿宋"/>
                <w:b/>
                <w:bCs/>
                <w:color w:val="000000"/>
                <w:sz w:val="22"/>
                <w:lang w:val="en-US" w:eastAsia="zh-CN"/>
              </w:rPr>
              <w:t>7256.55</w:t>
            </w:r>
          </w:p>
        </w:tc>
        <w:tc>
          <w:tcPr>
            <w:tcW w:w="1313" w:type="dxa"/>
            <w:tcBorders>
              <w:top w:val="nil"/>
              <w:left w:val="nil"/>
              <w:bottom w:val="single" w:color="auto" w:sz="4" w:space="0"/>
              <w:right w:val="single" w:color="auto" w:sz="4" w:space="0"/>
            </w:tcBorders>
            <w:shd w:val="clear" w:color="auto" w:fill="auto"/>
            <w:vAlign w:val="center"/>
          </w:tcPr>
          <w:p w14:paraId="6CD0C0BD">
            <w:pPr>
              <w:jc w:val="center"/>
              <w:rPr>
                <w:rFonts w:hint="eastAsia" w:ascii="仿宋" w:hAnsi="仿宋" w:eastAsia="仿宋"/>
                <w:b/>
                <w:bCs/>
                <w:color w:val="000000"/>
                <w:sz w:val="22"/>
              </w:rPr>
            </w:pPr>
            <w:r>
              <w:rPr>
                <w:rFonts w:hint="eastAsia" w:ascii="仿宋" w:hAnsi="仿宋" w:eastAsia="仿宋"/>
                <w:b/>
                <w:bCs/>
                <w:color w:val="000000"/>
                <w:sz w:val="22"/>
                <w:lang w:val="en-US" w:eastAsia="zh-CN"/>
              </w:rPr>
              <w:t>5537.49</w:t>
            </w:r>
          </w:p>
        </w:tc>
        <w:tc>
          <w:tcPr>
            <w:tcW w:w="1103" w:type="dxa"/>
            <w:tcBorders>
              <w:top w:val="nil"/>
              <w:left w:val="nil"/>
              <w:bottom w:val="single" w:color="auto" w:sz="4" w:space="0"/>
              <w:right w:val="single" w:color="auto" w:sz="4" w:space="0"/>
            </w:tcBorders>
            <w:shd w:val="clear" w:color="auto" w:fill="auto"/>
            <w:vAlign w:val="center"/>
          </w:tcPr>
          <w:p w14:paraId="1F7EF6B1">
            <w:pPr>
              <w:jc w:val="center"/>
              <w:rPr>
                <w:rFonts w:hint="eastAsia" w:ascii="仿宋" w:hAnsi="仿宋" w:eastAsia="仿宋"/>
                <w:b/>
                <w:bCs/>
                <w:color w:val="000000"/>
                <w:sz w:val="22"/>
              </w:rPr>
            </w:pPr>
            <w:r>
              <w:rPr>
                <w:rFonts w:hint="eastAsia" w:ascii="仿宋" w:hAnsi="仿宋" w:eastAsia="仿宋"/>
                <w:b/>
                <w:bCs/>
                <w:color w:val="000000"/>
                <w:sz w:val="22"/>
                <w:lang w:val="en-US" w:eastAsia="zh-CN"/>
              </w:rPr>
              <w:t>2803.92</w:t>
            </w:r>
          </w:p>
        </w:tc>
        <w:tc>
          <w:tcPr>
            <w:tcW w:w="862" w:type="dxa"/>
            <w:tcBorders>
              <w:top w:val="nil"/>
              <w:left w:val="nil"/>
              <w:bottom w:val="single" w:color="auto" w:sz="4" w:space="0"/>
              <w:right w:val="single" w:color="auto" w:sz="4" w:space="0"/>
            </w:tcBorders>
            <w:shd w:val="clear" w:color="auto" w:fill="auto"/>
            <w:vAlign w:val="center"/>
          </w:tcPr>
          <w:p w14:paraId="64CAAAA8">
            <w:pPr>
              <w:jc w:val="center"/>
              <w:rPr>
                <w:rFonts w:hint="eastAsia" w:ascii="仿宋" w:hAnsi="仿宋" w:eastAsia="仿宋"/>
                <w:b/>
                <w:bCs/>
                <w:color w:val="000000"/>
                <w:sz w:val="22"/>
              </w:rPr>
            </w:pPr>
            <w:r>
              <w:rPr>
                <w:rFonts w:hint="eastAsia" w:ascii="仿宋" w:hAnsi="仿宋" w:eastAsia="仿宋"/>
                <w:b/>
                <w:bCs/>
                <w:color w:val="000000"/>
                <w:sz w:val="22"/>
                <w:lang w:val="en-US" w:eastAsia="zh-CN"/>
              </w:rPr>
              <w:t>51.44</w:t>
            </w:r>
          </w:p>
        </w:tc>
        <w:tc>
          <w:tcPr>
            <w:tcW w:w="1214" w:type="dxa"/>
            <w:tcBorders>
              <w:top w:val="nil"/>
              <w:left w:val="nil"/>
              <w:bottom w:val="single" w:color="auto" w:sz="4" w:space="0"/>
              <w:right w:val="single" w:color="auto" w:sz="4" w:space="0"/>
            </w:tcBorders>
            <w:shd w:val="clear" w:color="auto" w:fill="auto"/>
            <w:vAlign w:val="center"/>
          </w:tcPr>
          <w:p w14:paraId="4E01DE60">
            <w:pPr>
              <w:jc w:val="center"/>
              <w:rPr>
                <w:rFonts w:hint="eastAsia" w:ascii="仿宋" w:hAnsi="仿宋" w:eastAsia="仿宋"/>
                <w:b/>
                <w:bCs/>
                <w:color w:val="000000"/>
                <w:sz w:val="22"/>
              </w:rPr>
            </w:pPr>
            <w:r>
              <w:rPr>
                <w:rFonts w:hint="eastAsia" w:ascii="仿宋" w:hAnsi="仿宋" w:eastAsia="仿宋"/>
                <w:b/>
                <w:bCs/>
                <w:color w:val="000000"/>
                <w:sz w:val="22"/>
                <w:lang w:val="en-US" w:eastAsia="zh-CN"/>
              </w:rPr>
              <w:t>15649.41</w:t>
            </w:r>
          </w:p>
        </w:tc>
        <w:tc>
          <w:tcPr>
            <w:tcW w:w="1165" w:type="pct"/>
            <w:tcBorders>
              <w:top w:val="single" w:color="auto" w:sz="4" w:space="0"/>
              <w:left w:val="single" w:color="auto" w:sz="4" w:space="0"/>
              <w:bottom w:val="single" w:color="auto" w:sz="4" w:space="0"/>
              <w:right w:val="single" w:color="auto" w:sz="4" w:space="0"/>
            </w:tcBorders>
            <w:shd w:val="clear" w:color="auto" w:fill="auto"/>
            <w:vAlign w:val="center"/>
          </w:tcPr>
          <w:p w14:paraId="38BCDF91">
            <w:pPr>
              <w:jc w:val="left"/>
              <w:rPr>
                <w:rFonts w:hint="eastAsia" w:ascii="仿宋" w:hAnsi="仿宋" w:eastAsia="仿宋" w:cs="Times New Roman"/>
                <w:szCs w:val="21"/>
              </w:rPr>
            </w:pPr>
          </w:p>
        </w:tc>
        <w:tc>
          <w:tcPr>
            <w:tcW w:w="470" w:type="pct"/>
            <w:tcBorders>
              <w:top w:val="single" w:color="auto" w:sz="4" w:space="0"/>
              <w:left w:val="nil"/>
              <w:bottom w:val="single" w:color="auto" w:sz="4" w:space="0"/>
              <w:right w:val="single" w:color="auto" w:sz="4" w:space="0"/>
            </w:tcBorders>
            <w:shd w:val="clear" w:color="auto" w:fill="auto"/>
            <w:vAlign w:val="center"/>
          </w:tcPr>
          <w:p w14:paraId="40D99D96">
            <w:pPr>
              <w:jc w:val="center"/>
              <w:rPr>
                <w:rFonts w:hint="eastAsia" w:ascii="仿宋" w:hAnsi="仿宋" w:eastAsia="仿宋"/>
              </w:rPr>
            </w:pPr>
          </w:p>
        </w:tc>
        <w:tc>
          <w:tcPr>
            <w:tcW w:w="379" w:type="pct"/>
            <w:tcBorders>
              <w:top w:val="single" w:color="auto" w:sz="4" w:space="0"/>
              <w:left w:val="nil"/>
              <w:bottom w:val="single" w:color="auto" w:sz="4" w:space="0"/>
              <w:right w:val="single" w:color="auto" w:sz="4" w:space="0"/>
            </w:tcBorders>
            <w:shd w:val="clear" w:color="auto" w:fill="auto"/>
            <w:vAlign w:val="center"/>
          </w:tcPr>
          <w:p w14:paraId="777F4A26">
            <w:pPr>
              <w:jc w:val="left"/>
              <w:rPr>
                <w:rFonts w:hint="eastAsia" w:ascii="仿宋" w:hAnsi="仿宋" w:eastAsia="仿宋" w:cs="Times New Roman"/>
                <w:szCs w:val="21"/>
              </w:rPr>
            </w:pPr>
          </w:p>
        </w:tc>
      </w:tr>
    </w:tbl>
    <w:p w14:paraId="0377D0B7">
      <w:pPr>
        <w:spacing w:line="360" w:lineRule="auto"/>
        <w:rPr>
          <w:rFonts w:ascii="仿宋" w:hAnsi="仿宋" w:eastAsia="仿宋"/>
          <w:sz w:val="28"/>
          <w:szCs w:val="24"/>
        </w:rPr>
      </w:pPr>
    </w:p>
    <w:p w14:paraId="059793A6">
      <w:pPr>
        <w:rPr>
          <w:rFonts w:ascii="黑体" w:hAnsi="黑体" w:eastAsia="黑体"/>
          <w:sz w:val="32"/>
          <w:szCs w:val="32"/>
        </w:rPr>
      </w:pPr>
      <w:r>
        <w:rPr>
          <w:rFonts w:hint="eastAsia" w:ascii="黑体" w:hAnsi="黑体" w:eastAsia="黑体"/>
          <w:sz w:val="32"/>
          <w:szCs w:val="32"/>
        </w:rPr>
        <w:t>二、资产介绍</w:t>
      </w:r>
    </w:p>
    <w:p w14:paraId="56082147">
      <w:pPr>
        <w:ind w:firstLine="560" w:firstLineChars="200"/>
        <w:rPr>
          <w:rFonts w:ascii="仿宋" w:hAnsi="仿宋" w:eastAsia="仿宋" w:cs="Times New Roman"/>
          <w:bCs/>
          <w:kern w:val="0"/>
          <w:sz w:val="28"/>
          <w:szCs w:val="32"/>
        </w:rPr>
      </w:pPr>
      <w:r>
        <w:rPr>
          <w:rFonts w:hint="eastAsia" w:ascii="仿宋" w:hAnsi="仿宋" w:eastAsia="仿宋" w:cs="Times New Roman"/>
          <w:bCs/>
          <w:kern w:val="0"/>
          <w:sz w:val="28"/>
          <w:szCs w:val="32"/>
        </w:rPr>
        <w:t>本项目抵押物位于广东省韶关市仁化县境内，地处丹霞山世界地质公园核心区，距离丹霞山旅游风景区东北门直线距离仅</w:t>
      </w:r>
      <w:r>
        <w:rPr>
          <w:rFonts w:ascii="仿宋" w:hAnsi="仿宋" w:eastAsia="仿宋" w:cs="Times New Roman"/>
          <w:bCs/>
          <w:kern w:val="0"/>
          <w:sz w:val="28"/>
          <w:szCs w:val="32"/>
        </w:rPr>
        <w:t>100米，距韶关丹霞山高铁站车程约20分钟。</w:t>
      </w:r>
    </w:p>
    <w:p w14:paraId="12B5296C">
      <w:pPr>
        <w:ind w:firstLine="560" w:firstLineChars="200"/>
        <w:rPr>
          <w:rFonts w:hint="eastAsia" w:ascii="仿宋" w:hAnsi="仿宋" w:eastAsia="仿宋" w:cs="Times New Roman"/>
          <w:bCs/>
          <w:kern w:val="0"/>
          <w:sz w:val="28"/>
          <w:szCs w:val="32"/>
        </w:rPr>
      </w:pPr>
      <w:r>
        <w:rPr>
          <w:rFonts w:hint="eastAsia" w:ascii="仿宋" w:hAnsi="仿宋" w:eastAsia="仿宋" w:cs="Times New Roman"/>
          <w:bCs/>
          <w:kern w:val="0"/>
          <w:sz w:val="28"/>
          <w:szCs w:val="32"/>
        </w:rPr>
        <w:t>抵押物地处仁化县丹霞山门左侧核心门户，直面世界遗产丹霞山核心景观，与景区入口无缝衔接，是游客进入丹霞山的首要视觉与功能节点。抵押物自带美食坊、丹霞风情街等成熟业态，可直接复用文旅康养功能。周边</w:t>
      </w:r>
      <w:r>
        <w:rPr>
          <w:rFonts w:ascii="仿宋" w:hAnsi="仿宋" w:eastAsia="仿宋" w:cs="Times New Roman"/>
          <w:bCs/>
          <w:kern w:val="0"/>
          <w:sz w:val="28"/>
          <w:szCs w:val="32"/>
        </w:rPr>
        <w:t>1小时内可达长老峰、石塘古村等景点，阅丹公路串联观景打卡点与民宿集群，旅游服务设施完善。</w:t>
      </w:r>
    </w:p>
    <w:p w14:paraId="1AD3A06B">
      <w:pPr>
        <w:rPr>
          <w:rFonts w:ascii="仿宋" w:hAnsi="仿宋" w:eastAsia="仿宋" w:cs="Times New Roman"/>
          <w:bCs/>
          <w:kern w:val="0"/>
          <w:sz w:val="28"/>
          <w:szCs w:val="32"/>
        </w:rPr>
      </w:pPr>
    </w:p>
    <w:p w14:paraId="5B6DDFE9">
      <w:pPr>
        <w:pStyle w:val="10"/>
        <w:widowControl/>
        <w:spacing w:line="360" w:lineRule="atLeast"/>
        <w:ind w:firstLine="0" w:firstLineChars="0"/>
        <w:rPr>
          <w:rFonts w:ascii="黑体" w:hAnsi="黑体" w:eastAsia="黑体" w:cstheme="minorBidi"/>
          <w:sz w:val="32"/>
          <w:szCs w:val="32"/>
        </w:rPr>
      </w:pPr>
      <w:r>
        <w:rPr>
          <w:rFonts w:hint="eastAsia" w:ascii="黑体" w:hAnsi="黑体" w:eastAsia="黑体" w:cstheme="minorBidi"/>
          <w:sz w:val="32"/>
          <w:szCs w:val="32"/>
        </w:rPr>
        <w:t>三、主要抵押物及周边照片</w:t>
      </w:r>
    </w:p>
    <w:p w14:paraId="5DB5E970">
      <w:pPr>
        <w:ind w:firstLine="640"/>
        <w:rPr>
          <w:rFonts w:ascii="仿宋_GB2312" w:hAnsi="Times New Roman" w:eastAsia="仿宋_GB2312" w:cs="Times New Roman"/>
          <w:sz w:val="28"/>
          <w:szCs w:val="28"/>
        </w:rPr>
      </w:pPr>
      <w:r>
        <w:rPr>
          <w:rFonts w:hint="eastAsia" w:ascii="仿宋_GB2312" w:hAnsi="Times New Roman" w:eastAsia="仿宋_GB2312" w:cs="Times New Roman"/>
          <w:sz w:val="28"/>
          <w:szCs w:val="28"/>
        </w:rPr>
        <w:t>抵押物方位及现场情况如下：</w:t>
      </w:r>
    </w:p>
    <w:p w14:paraId="640CB4F9">
      <w:pPr>
        <w:pStyle w:val="10"/>
        <w:widowControl/>
        <w:spacing w:line="360" w:lineRule="atLeast"/>
        <w:ind w:firstLine="560" w:firstLineChars="200"/>
        <w:rPr>
          <w:rFonts w:ascii="仿宋" w:hAnsi="仿宋"/>
          <w:bCs/>
          <w:kern w:val="0"/>
          <w:sz w:val="28"/>
          <w:szCs w:val="32"/>
        </w:rPr>
      </w:pPr>
      <w:r>
        <w:rPr>
          <w:rFonts w:ascii="仿宋" w:hAnsi="仿宋"/>
          <w:bCs/>
          <w:kern w:val="0"/>
          <w:sz w:val="28"/>
          <w:szCs w:val="32"/>
        </w:rPr>
        <w:t>1.</w:t>
      </w:r>
      <w:r>
        <w:rPr>
          <w:rFonts w:hint="eastAsia" w:ascii="仿宋" w:hAnsi="仿宋"/>
          <w:bCs/>
          <w:kern w:val="0"/>
          <w:sz w:val="28"/>
          <w:szCs w:val="32"/>
        </w:rPr>
        <w:t>仁化县富民实业有限公司名下仁化县丹霞山门左侧原金霞小区红锦湾旅游度假养老养生大酒店</w:t>
      </w:r>
      <w:r>
        <w:rPr>
          <w:rFonts w:ascii="仿宋" w:hAnsi="仿宋"/>
          <w:bCs/>
          <w:kern w:val="0"/>
          <w:sz w:val="28"/>
          <w:szCs w:val="32"/>
        </w:rPr>
        <w:t>A、C、D幢的房产，抵押物面积合计11,691.29</w:t>
      </w:r>
      <w:r>
        <w:rPr>
          <w:rFonts w:hint="eastAsia" w:ascii="仿宋" w:hAnsi="仿宋"/>
          <w:bCs/>
          <w:kern w:val="0"/>
          <w:sz w:val="28"/>
          <w:szCs w:val="32"/>
        </w:rPr>
        <w:t>㎡；仁化县富民实业有限公司名下位于仁化县丹霞山门左侧原金霞小区</w:t>
      </w:r>
      <w:r>
        <w:rPr>
          <w:rFonts w:ascii="仿宋" w:hAnsi="仿宋"/>
          <w:bCs/>
          <w:kern w:val="0"/>
          <w:sz w:val="28"/>
          <w:szCs w:val="32"/>
        </w:rPr>
        <w:t>B幢首层2号，建筑面积91.89㎡</w:t>
      </w:r>
      <w:r>
        <w:rPr>
          <w:rFonts w:hint="eastAsia" w:ascii="仿宋" w:hAnsi="仿宋"/>
          <w:bCs/>
          <w:kern w:val="0"/>
          <w:sz w:val="28"/>
          <w:szCs w:val="32"/>
        </w:rPr>
        <w:t>；</w:t>
      </w:r>
    </w:p>
    <w:tbl>
      <w:tblPr>
        <w:tblStyle w:val="28"/>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4"/>
        <w:gridCol w:w="4264"/>
      </w:tblGrid>
      <w:tr w14:paraId="5F24FC2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40" w:hRule="atLeast"/>
        </w:trPr>
        <w:tc>
          <w:tcPr>
            <w:tcW w:w="5000" w:type="pct"/>
            <w:gridSpan w:val="2"/>
            <w:tcBorders>
              <w:top w:val="dashed" w:color="auto" w:sz="4" w:space="0"/>
              <w:left w:val="dashed" w:color="auto" w:sz="4" w:space="0"/>
              <w:bottom w:val="dashed" w:color="auto" w:sz="4" w:space="0"/>
              <w:right w:val="dashed" w:color="auto" w:sz="4" w:space="0"/>
            </w:tcBorders>
          </w:tcPr>
          <w:p w14:paraId="7F0432FC">
            <w:pPr>
              <w:rPr>
                <w:rFonts w:ascii="Times New Roman" w:hAnsi="Times New Roman" w:eastAsia="仿宋_GB2312" w:cs="Times New Roman"/>
                <w:sz w:val="32"/>
                <w:szCs w:val="32"/>
              </w:rPr>
            </w:pPr>
            <w:r>
              <w:rPr>
                <w:rFonts w:ascii="Times New Roman" w:hAnsi="Times New Roman" w:eastAsia="仿宋_GB2312" w:cs="Times New Roman"/>
                <w:sz w:val="28"/>
                <w:szCs w:val="32"/>
              </w:rPr>
              <mc:AlternateContent>
                <mc:Choice Requires="wps">
                  <w:drawing>
                    <wp:anchor distT="0" distB="0" distL="114300" distR="114300" simplePos="0" relativeHeight="251659264" behindDoc="0" locked="0" layoutInCell="1" allowOverlap="1">
                      <wp:simplePos x="0" y="0"/>
                      <wp:positionH relativeFrom="column">
                        <wp:posOffset>2046605</wp:posOffset>
                      </wp:positionH>
                      <wp:positionV relativeFrom="paragraph">
                        <wp:posOffset>1327150</wp:posOffset>
                      </wp:positionV>
                      <wp:extent cx="251460" cy="251460"/>
                      <wp:effectExtent l="0" t="0" r="0" b="0"/>
                      <wp:wrapNone/>
                      <wp:docPr id="3" name="星形: 五角 3"/>
                      <wp:cNvGraphicFramePr/>
                      <a:graphic xmlns:a="http://schemas.openxmlformats.org/drawingml/2006/main">
                        <a:graphicData uri="http://schemas.microsoft.com/office/word/2010/wordprocessingShape">
                          <wps:wsp>
                            <wps:cNvSpPr/>
                            <wps:spPr>
                              <a:xfrm>
                                <a:off x="0" y="0"/>
                                <a:ext cx="251460" cy="251460"/>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3" o:spid="_x0000_s1026" style="position:absolute;left:0pt;margin-left:161.15pt;margin-top:104.5pt;height:19.8pt;width:19.8pt;z-index:251659264;v-text-anchor:middle;mso-width-relative:page;mso-height-relative:page;" fillcolor="#FF0000" filled="t" stroked="f" coordsize="251460,251460" o:gfxdata="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&#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0nIr92gAAAAsBAAAPAAAAAAAAAAEAIAAAACIAAABk&#10;cnMvZG93bnJldi54bWxQSwECFAAUAAAACACHTuJABTrmlnYCAADTBAAADgAAAAAAAAABACAAAAAp&#10;AQAAZHJzL2Uyb0RvYy54bWxQSwUGAAAAAAYABgBZAQAAEQYAAAAA&#10;" path="m0,96048l96049,96049,125730,0,155410,96049,251459,96048,173753,155410,203435,251459,125730,192097,48024,251459,77706,155410xe">
                      <v:path o:connectlocs="125730,0;0,96048;48024,251459;203435,251459;251459,96048" o:connectangles="247,164,82,82,0"/>
                      <v:fill on="t" focussize="0,0"/>
                      <v:stroke on="f" weight="1pt" miterlimit="8" joinstyle="miter"/>
                      <v:imagedata o:title=""/>
                      <o:lock v:ext="edit" aspectratio="f"/>
                    </v:shape>
                  </w:pict>
                </mc:Fallback>
              </mc:AlternateContent>
            </w:r>
            <w:r>
              <w:rPr>
                <w:rFonts w:ascii="Times New Roman" w:hAnsi="Times New Roman" w:eastAsia="宋体" w:cs="Times New Roman"/>
              </w:rPr>
              <w:drawing>
                <wp:inline distT="0" distB="0" distL="0" distR="0">
                  <wp:extent cx="5219700" cy="30619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20000" cy="3062492"/>
                          </a:xfrm>
                          <a:prstGeom prst="rect">
                            <a:avLst/>
                          </a:prstGeom>
                        </pic:spPr>
                      </pic:pic>
                    </a:graphicData>
                  </a:graphic>
                </wp:inline>
              </w:drawing>
            </w:r>
          </w:p>
        </w:tc>
      </w:tr>
      <w:tr w14:paraId="246C438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40" w:hRule="atLeast"/>
        </w:trPr>
        <w:tc>
          <w:tcPr>
            <w:tcW w:w="5000" w:type="pct"/>
            <w:gridSpan w:val="2"/>
            <w:tcBorders>
              <w:top w:val="dashed" w:color="auto" w:sz="4" w:space="0"/>
              <w:left w:val="dashed" w:color="auto" w:sz="4" w:space="0"/>
              <w:bottom w:val="dashed" w:color="auto" w:sz="4" w:space="0"/>
              <w:right w:val="dashed" w:color="auto" w:sz="4" w:space="0"/>
            </w:tcBorders>
          </w:tcPr>
          <w:p w14:paraId="28E997AB">
            <w:pP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5219700" cy="33610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cstate="print">
                            <a:extLst>
                              <a:ext uri="{28A0092B-C50C-407E-A947-70E740481C1C}">
                                <a14:useLocalDpi xmlns:a14="http://schemas.microsoft.com/office/drawing/2010/main" val="0"/>
                              </a:ext>
                            </a:extLst>
                          </a:blip>
                          <a:srcRect b="14092"/>
                          <a:stretch>
                            <a:fillRect/>
                          </a:stretch>
                        </pic:blipFill>
                        <pic:spPr>
                          <a:xfrm>
                            <a:off x="0" y="0"/>
                            <a:ext cx="5220000" cy="3361650"/>
                          </a:xfrm>
                          <a:prstGeom prst="rect">
                            <a:avLst/>
                          </a:prstGeom>
                          <a:noFill/>
                          <a:ln>
                            <a:noFill/>
                          </a:ln>
                        </pic:spPr>
                      </pic:pic>
                    </a:graphicData>
                  </a:graphic>
                </wp:inline>
              </w:drawing>
            </w:r>
          </w:p>
        </w:tc>
      </w:tr>
      <w:tr w14:paraId="3CF8152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2500" w:type="pct"/>
            <w:tcBorders>
              <w:top w:val="dashed" w:color="auto" w:sz="4" w:space="0"/>
              <w:left w:val="dashed" w:color="auto" w:sz="4" w:space="0"/>
              <w:bottom w:val="dashed" w:color="auto" w:sz="4" w:space="0"/>
              <w:right w:val="dashed" w:color="auto" w:sz="4" w:space="0"/>
            </w:tcBorders>
          </w:tcPr>
          <w:p w14:paraId="6866712B">
            <w:pP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512695" cy="1884045"/>
                  <wp:effectExtent l="0" t="0" r="190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2893" cy="1884670"/>
                          </a:xfrm>
                          <a:prstGeom prst="rect">
                            <a:avLst/>
                          </a:prstGeom>
                        </pic:spPr>
                      </pic:pic>
                    </a:graphicData>
                  </a:graphic>
                </wp:inline>
              </w:drawing>
            </w:r>
          </w:p>
        </w:tc>
        <w:tc>
          <w:tcPr>
            <w:tcW w:w="2500" w:type="pct"/>
            <w:tcBorders>
              <w:top w:val="dashed" w:color="auto" w:sz="4" w:space="0"/>
              <w:left w:val="nil"/>
              <w:bottom w:val="dashed" w:color="auto" w:sz="4" w:space="0"/>
              <w:right w:val="dashed" w:color="auto" w:sz="4" w:space="0"/>
            </w:tcBorders>
          </w:tcPr>
          <w:p w14:paraId="3D107F80">
            <w:pPr>
              <w:jc w:val="left"/>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519680" cy="18897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r w14:paraId="655A50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2500" w:type="pct"/>
            <w:tcBorders>
              <w:top w:val="dashed" w:color="auto" w:sz="4" w:space="0"/>
              <w:left w:val="dashed" w:color="auto" w:sz="4" w:space="0"/>
              <w:bottom w:val="dashed" w:color="auto" w:sz="4" w:space="0"/>
              <w:right w:val="dashed" w:color="auto" w:sz="4" w:space="0"/>
            </w:tcBorders>
          </w:tcPr>
          <w:p w14:paraId="1450A090">
            <w:pP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519680" cy="18897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c>
          <w:tcPr>
            <w:tcW w:w="2500" w:type="pct"/>
            <w:tcBorders>
              <w:top w:val="dashed" w:color="auto" w:sz="4" w:space="0"/>
              <w:left w:val="nil"/>
              <w:bottom w:val="dashed" w:color="auto" w:sz="4" w:space="0"/>
              <w:right w:val="dashed" w:color="auto" w:sz="4" w:space="0"/>
            </w:tcBorders>
          </w:tcPr>
          <w:p w14:paraId="742C5F8B">
            <w:pPr>
              <w:jc w:val="left"/>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519680" cy="18897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r w14:paraId="4B7AC60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2500" w:type="pct"/>
            <w:tcBorders>
              <w:top w:val="dashed" w:color="auto" w:sz="4" w:space="0"/>
              <w:left w:val="dashed" w:color="auto" w:sz="4" w:space="0"/>
              <w:bottom w:val="dashed" w:color="auto" w:sz="4" w:space="0"/>
              <w:right w:val="dashed" w:color="auto" w:sz="4" w:space="0"/>
            </w:tcBorders>
          </w:tcPr>
          <w:p w14:paraId="54C6AC80">
            <w:pP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519680" cy="18897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c>
          <w:tcPr>
            <w:tcW w:w="2500" w:type="pct"/>
            <w:tcBorders>
              <w:top w:val="dashed" w:color="auto" w:sz="4" w:space="0"/>
              <w:left w:val="nil"/>
              <w:bottom w:val="dashed" w:color="auto" w:sz="4" w:space="0"/>
              <w:right w:val="dashed" w:color="auto" w:sz="4" w:space="0"/>
            </w:tcBorders>
          </w:tcPr>
          <w:p w14:paraId="64D49C3D">
            <w:pPr>
              <w:jc w:val="left"/>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519680" cy="18897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rcRect l="24295" t="24697" r="13206" b="12802"/>
                          <a:stretch>
                            <a:fillRect/>
                          </a:stretch>
                        </pic:blipFill>
                        <pic:spPr>
                          <a:xfrm>
                            <a:off x="0" y="0"/>
                            <a:ext cx="2520000" cy="1890000"/>
                          </a:xfrm>
                          <a:prstGeom prst="rect">
                            <a:avLst/>
                          </a:prstGeom>
                          <a:ln>
                            <a:noFill/>
                          </a:ln>
                        </pic:spPr>
                      </pic:pic>
                    </a:graphicData>
                  </a:graphic>
                </wp:inline>
              </w:drawing>
            </w:r>
          </w:p>
        </w:tc>
      </w:tr>
    </w:tbl>
    <w:p w14:paraId="38A75221">
      <w:pPr>
        <w:pStyle w:val="10"/>
        <w:widowControl/>
        <w:spacing w:line="360" w:lineRule="atLeast"/>
        <w:ind w:firstLine="560" w:firstLineChars="200"/>
        <w:rPr>
          <w:rFonts w:ascii="仿宋" w:hAnsi="仿宋"/>
          <w:bCs/>
          <w:kern w:val="0"/>
          <w:sz w:val="28"/>
          <w:szCs w:val="32"/>
        </w:rPr>
      </w:pPr>
      <w:r>
        <w:rPr>
          <w:rFonts w:hint="eastAsia" w:ascii="仿宋" w:hAnsi="仿宋"/>
          <w:bCs/>
          <w:kern w:val="0"/>
          <w:sz w:val="28"/>
          <w:szCs w:val="32"/>
        </w:rPr>
        <w:t>2</w:t>
      </w:r>
      <w:r>
        <w:rPr>
          <w:rFonts w:ascii="仿宋" w:hAnsi="仿宋"/>
          <w:bCs/>
          <w:kern w:val="0"/>
          <w:sz w:val="28"/>
          <w:szCs w:val="32"/>
        </w:rPr>
        <w:t>.</w:t>
      </w:r>
      <w:r>
        <w:rPr>
          <w:rFonts w:hint="eastAsia" w:ascii="仿宋" w:hAnsi="仿宋"/>
          <w:bCs/>
          <w:kern w:val="0"/>
          <w:sz w:val="28"/>
          <w:szCs w:val="32"/>
        </w:rPr>
        <w:t>黄益琳名下位于仁化县丹霞开发区金霞小区</w:t>
      </w:r>
      <w:r>
        <w:rPr>
          <w:rFonts w:ascii="仿宋" w:hAnsi="仿宋"/>
          <w:bCs/>
          <w:kern w:val="0"/>
          <w:sz w:val="28"/>
          <w:szCs w:val="32"/>
        </w:rPr>
        <w:t>A1栋，建筑面积361.71㎡。</w:t>
      </w:r>
    </w:p>
    <w:tbl>
      <w:tblPr>
        <w:tblStyle w:val="28"/>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264"/>
        <w:gridCol w:w="4264"/>
      </w:tblGrid>
      <w:tr w14:paraId="5101E16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40" w:hRule="atLeast"/>
        </w:trPr>
        <w:tc>
          <w:tcPr>
            <w:tcW w:w="5000" w:type="pct"/>
            <w:gridSpan w:val="2"/>
            <w:tcBorders>
              <w:top w:val="dashed" w:color="auto" w:sz="4" w:space="0"/>
              <w:left w:val="dashed" w:color="auto" w:sz="4" w:space="0"/>
              <w:bottom w:val="dashed" w:color="auto" w:sz="4" w:space="0"/>
              <w:right w:val="dashed" w:color="auto" w:sz="4" w:space="0"/>
            </w:tcBorders>
          </w:tcPr>
          <w:p w14:paraId="4EDB6015">
            <w:pPr>
              <w:rPr>
                <w:rFonts w:ascii="Times New Roman" w:hAnsi="Times New Roman" w:eastAsia="仿宋_GB2312" w:cs="Times New Roman"/>
                <w:sz w:val="32"/>
                <w:szCs w:val="32"/>
              </w:rPr>
            </w:pPr>
            <w:r>
              <w:rPr>
                <w:rFonts w:ascii="Times New Roman" w:hAnsi="Times New Roman" w:eastAsia="仿宋_GB2312" w:cs="Times New Roman"/>
                <w:bCs/>
                <w:sz w:val="28"/>
                <w:szCs w:val="32"/>
                <w:lang w:val="zh-CN"/>
              </w:rPr>
              <mc:AlternateContent>
                <mc:Choice Requires="wps">
                  <w:drawing>
                    <wp:anchor distT="0" distB="0" distL="114300" distR="114300" simplePos="0" relativeHeight="251660288" behindDoc="0" locked="0" layoutInCell="1" allowOverlap="1">
                      <wp:simplePos x="0" y="0"/>
                      <wp:positionH relativeFrom="column">
                        <wp:posOffset>2145665</wp:posOffset>
                      </wp:positionH>
                      <wp:positionV relativeFrom="paragraph">
                        <wp:posOffset>1068070</wp:posOffset>
                      </wp:positionV>
                      <wp:extent cx="213360" cy="213360"/>
                      <wp:effectExtent l="0" t="0" r="0" b="0"/>
                      <wp:wrapNone/>
                      <wp:docPr id="13" name="星形: 五角 13"/>
                      <wp:cNvGraphicFramePr/>
                      <a:graphic xmlns:a="http://schemas.openxmlformats.org/drawingml/2006/main">
                        <a:graphicData uri="http://schemas.microsoft.com/office/word/2010/wordprocessingShape">
                          <wps:wsp>
                            <wps:cNvSpPr/>
                            <wps:spPr>
                              <a:xfrm>
                                <a:off x="0" y="0"/>
                                <a:ext cx="213360" cy="213360"/>
                              </a:xfrm>
                              <a:prstGeom prst="star5">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13" o:spid="_x0000_s1026" style="position:absolute;left:0pt;margin-left:168.95pt;margin-top:84.1pt;height:16.8pt;width:16.8pt;z-index:251660288;v-text-anchor:middle;mso-width-relative:page;mso-height-relative:page;" fillcolor="#FF0000" filled="t" stroked="f" coordsize="213360,213360" o:gfxdata="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xrr79gAAAALAQAADwAAAAAAAAABACAAAAAiAAAAZHJz&#10;L2Rvd25yZXYueG1sUEsBAhQAFAAAAAgAh07iQD86Kx52AgAA1QQAAA4AAAAAAAAAAQAgAAAAJwEA&#10;AGRycy9lMm9Eb2MueG1sUEsFBgAAAAAGAAYAWQEAAA8GAAAAAA==&#10;" path="m0,81496l81496,81496,106680,0,131863,81496,213359,81496,147427,131863,172611,213359,106680,162991,40748,213359,65932,131863xe">
                      <v:path o:connectlocs="106680,0;0,81496;40748,213359;172611,213359;213359,81496" o:connectangles="247,164,82,82,0"/>
                      <v:fill on="t" focussize="0,0"/>
                      <v:stroke on="f" weight="1pt" miterlimit="8" joinstyle="miter"/>
                      <v:imagedata o:title=""/>
                      <o:lock v:ext="edit" aspectratio="f"/>
                    </v:shape>
                  </w:pict>
                </mc:Fallback>
              </mc:AlternateContent>
            </w:r>
            <w:r>
              <w:rPr>
                <w:rFonts w:ascii="Times New Roman" w:hAnsi="Times New Roman" w:eastAsia="宋体" w:cs="Times New Roman"/>
              </w:rPr>
              <w:drawing>
                <wp:inline distT="0" distB="0" distL="0" distR="0">
                  <wp:extent cx="5111750" cy="31267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112000" cy="3127146"/>
                          </a:xfrm>
                          <a:prstGeom prst="rect">
                            <a:avLst/>
                          </a:prstGeom>
                        </pic:spPr>
                      </pic:pic>
                    </a:graphicData>
                  </a:graphic>
                </wp:inline>
              </w:drawing>
            </w:r>
          </w:p>
        </w:tc>
      </w:tr>
      <w:tr w14:paraId="3C43E93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2500" w:type="pct"/>
            <w:tcBorders>
              <w:top w:val="dashed" w:color="auto" w:sz="4" w:space="0"/>
              <w:left w:val="dashed" w:color="auto" w:sz="4" w:space="0"/>
              <w:bottom w:val="dashed" w:color="auto" w:sz="4" w:space="0"/>
              <w:right w:val="dashed" w:color="auto" w:sz="4" w:space="0"/>
            </w:tcBorders>
          </w:tcPr>
          <w:p w14:paraId="50319B4A">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519680" cy="18897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c>
          <w:tcPr>
            <w:tcW w:w="2500" w:type="pct"/>
            <w:tcBorders>
              <w:top w:val="dashed" w:color="auto" w:sz="4" w:space="0"/>
              <w:left w:val="nil"/>
              <w:bottom w:val="dashed" w:color="auto" w:sz="4" w:space="0"/>
              <w:right w:val="dashed" w:color="auto" w:sz="4" w:space="0"/>
            </w:tcBorders>
          </w:tcPr>
          <w:p w14:paraId="1A1F426C">
            <w:pPr>
              <w:jc w:val="left"/>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519680" cy="18897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tc>
      </w:tr>
    </w:tbl>
    <w:p w14:paraId="44CE81C6">
      <w:pPr>
        <w:pStyle w:val="10"/>
        <w:widowControl/>
        <w:spacing w:line="360" w:lineRule="atLeast"/>
        <w:ind w:firstLine="0" w:firstLineChars="0"/>
        <w:rPr>
          <w:rFonts w:hint="eastAsia" w:ascii="仿宋_GB2312" w:hAnsi="仿宋" w:eastAsia="仿宋_GB2312" w:cs="仿宋"/>
          <w:b/>
          <w:bCs/>
          <w:color w:val="000000"/>
          <w:sz w:val="28"/>
          <w:szCs w:val="28"/>
        </w:rPr>
      </w:pPr>
    </w:p>
    <w:p w14:paraId="2F815000">
      <w:pPr>
        <w:pStyle w:val="10"/>
        <w:widowControl/>
        <w:spacing w:line="360" w:lineRule="atLeast"/>
        <w:ind w:firstLine="703"/>
        <w:rPr>
          <w:rFonts w:ascii="仿宋_GB2312" w:hAnsi="仿宋" w:eastAsia="仿宋_GB2312" w:cs="仿宋"/>
          <w:sz w:val="28"/>
          <w:szCs w:val="28"/>
        </w:rPr>
      </w:pPr>
      <w:r>
        <w:rPr>
          <w:rFonts w:hint="eastAsia" w:ascii="仿宋_GB2312" w:hAnsi="仿宋" w:eastAsia="仿宋_GB2312" w:cs="仿宋"/>
          <w:b/>
          <w:bCs/>
          <w:color w:val="000000"/>
          <w:sz w:val="28"/>
          <w:szCs w:val="28"/>
        </w:rPr>
        <w:t>注：</w:t>
      </w:r>
      <w:r>
        <w:rPr>
          <w:rFonts w:hint="eastAsia" w:ascii="仿宋_GB2312" w:hAnsi="仿宋" w:eastAsia="仿宋_GB2312" w:cs="仿宋"/>
          <w:color w:val="000000"/>
          <w:sz w:val="28"/>
          <w:szCs w:val="28"/>
        </w:rPr>
        <w:t>1.本清单仅列示截至【2</w:t>
      </w:r>
      <w:r>
        <w:rPr>
          <w:rFonts w:ascii="仿宋_GB2312" w:hAnsi="仿宋" w:eastAsia="仿宋_GB2312" w:cs="仿宋"/>
          <w:color w:val="000000"/>
          <w:sz w:val="28"/>
          <w:szCs w:val="28"/>
        </w:rPr>
        <w:t>02</w:t>
      </w:r>
      <w:r>
        <w:rPr>
          <w:rFonts w:hint="eastAsia" w:ascii="仿宋_GB2312" w:hAnsi="仿宋" w:eastAsia="仿宋_GB2312" w:cs="仿宋"/>
          <w:color w:val="000000"/>
          <w:sz w:val="28"/>
          <w:szCs w:val="28"/>
          <w:lang w:val="en-US" w:eastAsia="zh-CN"/>
        </w:rPr>
        <w:t>6</w:t>
      </w:r>
      <w:r>
        <w:rPr>
          <w:rFonts w:hint="eastAsia" w:ascii="仿宋_GB2312" w:hAnsi="仿宋" w:eastAsia="仿宋_GB2312" w:cs="仿宋"/>
          <w:color w:val="000000"/>
          <w:sz w:val="28"/>
          <w:szCs w:val="28"/>
        </w:rPr>
        <w:t>】年【</w:t>
      </w:r>
      <w:r>
        <w:rPr>
          <w:rFonts w:hint="eastAsia" w:ascii="仿宋_GB2312" w:hAnsi="仿宋" w:eastAsia="仿宋_GB2312" w:cs="仿宋"/>
          <w:color w:val="000000"/>
          <w:sz w:val="28"/>
          <w:szCs w:val="28"/>
          <w:lang w:val="en-US" w:eastAsia="zh-CN"/>
        </w:rPr>
        <w:t>4</w:t>
      </w:r>
      <w:r>
        <w:rPr>
          <w:rFonts w:hint="eastAsia" w:ascii="仿宋_GB2312" w:hAnsi="仿宋" w:eastAsia="仿宋_GB2312" w:cs="仿宋"/>
          <w:color w:val="000000"/>
          <w:sz w:val="28"/>
          <w:szCs w:val="28"/>
        </w:rPr>
        <w:t>】月【</w:t>
      </w:r>
      <w:r>
        <w:rPr>
          <w:rFonts w:hint="eastAsia" w:ascii="仿宋_GB2312" w:hAnsi="仿宋" w:eastAsia="仿宋_GB2312" w:cs="仿宋"/>
          <w:color w:val="000000"/>
          <w:sz w:val="28"/>
          <w:szCs w:val="28"/>
          <w:lang w:val="en-US" w:eastAsia="zh-CN"/>
        </w:rPr>
        <w:t>3</w:t>
      </w:r>
      <w:r>
        <w:rPr>
          <w:rFonts w:ascii="仿宋_GB2312" w:hAnsi="仿宋" w:eastAsia="仿宋_GB2312" w:cs="仿宋"/>
          <w:color w:val="000000"/>
          <w:sz w:val="28"/>
          <w:szCs w:val="28"/>
        </w:rPr>
        <w:t>0</w:t>
      </w:r>
      <w:r>
        <w:rPr>
          <w:rFonts w:hint="eastAsia" w:ascii="仿宋_GB2312" w:hAnsi="仿宋" w:eastAsia="仿宋_GB2312" w:cs="仿宋"/>
          <w:color w:val="000000"/>
          <w:sz w:val="28"/>
          <w:szCs w:val="28"/>
        </w:rPr>
        <w:t>】日的债权本金，债务人和担保人应支付给我司的利息、罚息、复利、违约金及其它应付款，按借款合同、担保合同及中国人民银行的有关规定或生效法律文书确定的方法计算；</w:t>
      </w:r>
    </w:p>
    <w:p w14:paraId="0EE6D8AF">
      <w:pPr>
        <w:pStyle w:val="10"/>
        <w:widowControl/>
        <w:spacing w:line="360" w:lineRule="atLeast"/>
        <w:ind w:firstLine="560" w:firstLineChars="200"/>
        <w:rPr>
          <w:rFonts w:ascii="仿宋_GB2312" w:hAnsi="仿宋" w:eastAsia="仿宋_GB2312" w:cs="仿宋"/>
          <w:color w:val="000000"/>
          <w:sz w:val="28"/>
          <w:szCs w:val="28"/>
        </w:rPr>
      </w:pPr>
      <w:r>
        <w:rPr>
          <w:rFonts w:hint="eastAsia" w:ascii="仿宋_GB2312" w:hAnsi="仿宋" w:eastAsia="仿宋_GB2312" w:cs="仿宋"/>
          <w:color w:val="000000"/>
          <w:sz w:val="28"/>
          <w:szCs w:val="28"/>
        </w:rPr>
        <w:t>2.若债务人、担保人因各种原因更名、改制、歇业、吊销营业执照或丧失民事主体资格的，请相关承债主体或主管部门代为履行义务或履行清算责任；</w:t>
      </w:r>
    </w:p>
    <w:p w14:paraId="49136C65">
      <w:pPr>
        <w:pStyle w:val="10"/>
        <w:widowControl/>
        <w:spacing w:line="360" w:lineRule="atLeast"/>
        <w:rPr>
          <w:rFonts w:ascii="仿宋_GB2312" w:hAnsi="仿宋" w:eastAsia="仿宋_GB2312" w:cs="仿宋"/>
          <w:color w:val="000000"/>
          <w:sz w:val="28"/>
          <w:szCs w:val="28"/>
        </w:rPr>
      </w:pPr>
      <w:r>
        <w:rPr>
          <w:rFonts w:hint="eastAsia" w:ascii="仿宋_GB2312" w:hAnsi="仿宋" w:eastAsia="仿宋_GB2312" w:cs="仿宋"/>
          <w:color w:val="000000"/>
          <w:sz w:val="28"/>
          <w:szCs w:val="28"/>
        </w:rPr>
        <w:t>3.以上内容如有错漏，以债务人、担保人等原已签署的交易合同</w:t>
      </w:r>
      <w:r>
        <w:rPr>
          <w:rFonts w:hint="eastAsia" w:ascii="仿宋" w:hAnsi="仿宋" w:cs="仿宋"/>
          <w:sz w:val="28"/>
          <w:szCs w:val="28"/>
          <w:shd w:val="clear" w:color="auto" w:fill="FFFFFF"/>
          <w:lang w:bidi="ar"/>
        </w:rPr>
        <w:t>及/或生效法律文书等相关法律文件</w:t>
      </w:r>
      <w:r>
        <w:rPr>
          <w:rFonts w:hint="eastAsia" w:ascii="仿宋_GB2312" w:hAnsi="仿宋" w:eastAsia="仿宋_GB2312" w:cs="仿宋"/>
          <w:color w:val="000000"/>
          <w:sz w:val="28"/>
          <w:szCs w:val="28"/>
        </w:rPr>
        <w:t>为准；</w:t>
      </w:r>
    </w:p>
    <w:p w14:paraId="46D68A38">
      <w:pPr>
        <w:pStyle w:val="10"/>
        <w:widowControl/>
        <w:spacing w:line="360" w:lineRule="atLeast"/>
        <w:rPr>
          <w:rFonts w:ascii="仿宋_GB2312" w:hAnsi="仿宋" w:eastAsia="仿宋_GB2312" w:cs="仿宋"/>
          <w:color w:val="000000"/>
          <w:sz w:val="28"/>
          <w:szCs w:val="28"/>
        </w:rPr>
      </w:pPr>
      <w:r>
        <w:rPr>
          <w:rFonts w:hint="eastAsia" w:ascii="仿宋_GB2312" w:hAnsi="仿宋" w:eastAsia="仿宋_GB2312" w:cs="仿宋"/>
          <w:color w:val="000000"/>
          <w:sz w:val="28"/>
          <w:szCs w:val="28"/>
        </w:rPr>
        <w:t>4.</w:t>
      </w:r>
      <w:r>
        <w:rPr>
          <w:rFonts w:hint="eastAsia" w:ascii="仿宋_GB2312" w:hAnsi="仿宋" w:eastAsia="仿宋_GB2312" w:cs="仿宋"/>
          <w:color w:val="2B2B2B"/>
          <w:sz w:val="28"/>
          <w:szCs w:val="28"/>
          <w:shd w:val="clear" w:color="auto" w:fill="FFFFFF"/>
        </w:rPr>
        <w:t>资产介绍及照片内容仅供参考,我司不对其承担任何法律责任。</w:t>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EC4"/>
    <w:rsid w:val="000161D3"/>
    <w:rsid w:val="00023E20"/>
    <w:rsid w:val="000773C6"/>
    <w:rsid w:val="000C2C2C"/>
    <w:rsid w:val="000C5B13"/>
    <w:rsid w:val="000C6278"/>
    <w:rsid w:val="000D68CE"/>
    <w:rsid w:val="00106B47"/>
    <w:rsid w:val="001112CE"/>
    <w:rsid w:val="00125111"/>
    <w:rsid w:val="00144DE2"/>
    <w:rsid w:val="0015049C"/>
    <w:rsid w:val="00152FFE"/>
    <w:rsid w:val="0015435C"/>
    <w:rsid w:val="00156792"/>
    <w:rsid w:val="00163727"/>
    <w:rsid w:val="001821D9"/>
    <w:rsid w:val="0018331F"/>
    <w:rsid w:val="00187989"/>
    <w:rsid w:val="001955CF"/>
    <w:rsid w:val="001A71E2"/>
    <w:rsid w:val="001B0D49"/>
    <w:rsid w:val="001B5665"/>
    <w:rsid w:val="001B6566"/>
    <w:rsid w:val="001C0E10"/>
    <w:rsid w:val="00215363"/>
    <w:rsid w:val="00215F31"/>
    <w:rsid w:val="00216AB1"/>
    <w:rsid w:val="002210A8"/>
    <w:rsid w:val="0023000B"/>
    <w:rsid w:val="002450D8"/>
    <w:rsid w:val="00250FE2"/>
    <w:rsid w:val="002737E9"/>
    <w:rsid w:val="00282EA2"/>
    <w:rsid w:val="00287A31"/>
    <w:rsid w:val="0029391D"/>
    <w:rsid w:val="00293D52"/>
    <w:rsid w:val="002A1E6C"/>
    <w:rsid w:val="002A6D2F"/>
    <w:rsid w:val="002B3A7A"/>
    <w:rsid w:val="002D627C"/>
    <w:rsid w:val="002F6A0E"/>
    <w:rsid w:val="003015C3"/>
    <w:rsid w:val="003312C6"/>
    <w:rsid w:val="00331794"/>
    <w:rsid w:val="00335870"/>
    <w:rsid w:val="00340885"/>
    <w:rsid w:val="003432BA"/>
    <w:rsid w:val="00352720"/>
    <w:rsid w:val="00374013"/>
    <w:rsid w:val="00375035"/>
    <w:rsid w:val="003A54C9"/>
    <w:rsid w:val="003B5353"/>
    <w:rsid w:val="003F1F80"/>
    <w:rsid w:val="00407EC4"/>
    <w:rsid w:val="00420A4A"/>
    <w:rsid w:val="00422516"/>
    <w:rsid w:val="004274AA"/>
    <w:rsid w:val="004409FB"/>
    <w:rsid w:val="004419DD"/>
    <w:rsid w:val="00445B78"/>
    <w:rsid w:val="00454104"/>
    <w:rsid w:val="00454B4B"/>
    <w:rsid w:val="00474DA8"/>
    <w:rsid w:val="00476271"/>
    <w:rsid w:val="004A65BF"/>
    <w:rsid w:val="004B51A9"/>
    <w:rsid w:val="004C3139"/>
    <w:rsid w:val="004D1FCE"/>
    <w:rsid w:val="004D5513"/>
    <w:rsid w:val="004E4FC4"/>
    <w:rsid w:val="0050728C"/>
    <w:rsid w:val="00513035"/>
    <w:rsid w:val="0052494A"/>
    <w:rsid w:val="00531F97"/>
    <w:rsid w:val="005451AF"/>
    <w:rsid w:val="00586D6C"/>
    <w:rsid w:val="005A4CDE"/>
    <w:rsid w:val="005C19EC"/>
    <w:rsid w:val="005D41E4"/>
    <w:rsid w:val="005E4B83"/>
    <w:rsid w:val="005E6E0E"/>
    <w:rsid w:val="005F4165"/>
    <w:rsid w:val="00601C0D"/>
    <w:rsid w:val="006055B4"/>
    <w:rsid w:val="00632DD9"/>
    <w:rsid w:val="006356C5"/>
    <w:rsid w:val="00637821"/>
    <w:rsid w:val="006758D1"/>
    <w:rsid w:val="00681971"/>
    <w:rsid w:val="00683798"/>
    <w:rsid w:val="006840B0"/>
    <w:rsid w:val="006A349F"/>
    <w:rsid w:val="006B33B8"/>
    <w:rsid w:val="006C3B29"/>
    <w:rsid w:val="006E218C"/>
    <w:rsid w:val="006E224A"/>
    <w:rsid w:val="006E50CD"/>
    <w:rsid w:val="006E6D67"/>
    <w:rsid w:val="006F37EE"/>
    <w:rsid w:val="006F5382"/>
    <w:rsid w:val="006F54A3"/>
    <w:rsid w:val="00723D81"/>
    <w:rsid w:val="00733817"/>
    <w:rsid w:val="00734BE2"/>
    <w:rsid w:val="00760CAB"/>
    <w:rsid w:val="0076631B"/>
    <w:rsid w:val="007779E3"/>
    <w:rsid w:val="00783029"/>
    <w:rsid w:val="00783CB0"/>
    <w:rsid w:val="007960E8"/>
    <w:rsid w:val="007B3301"/>
    <w:rsid w:val="007B495D"/>
    <w:rsid w:val="007D084C"/>
    <w:rsid w:val="007E1685"/>
    <w:rsid w:val="007E32C8"/>
    <w:rsid w:val="007F1F91"/>
    <w:rsid w:val="007F7B5E"/>
    <w:rsid w:val="00840CCD"/>
    <w:rsid w:val="00875D99"/>
    <w:rsid w:val="008A1090"/>
    <w:rsid w:val="008C6424"/>
    <w:rsid w:val="008E0E64"/>
    <w:rsid w:val="009204F6"/>
    <w:rsid w:val="00951B13"/>
    <w:rsid w:val="00954055"/>
    <w:rsid w:val="00965DC6"/>
    <w:rsid w:val="00981CAD"/>
    <w:rsid w:val="00A44DA2"/>
    <w:rsid w:val="00A63A59"/>
    <w:rsid w:val="00A9723B"/>
    <w:rsid w:val="00AA1E63"/>
    <w:rsid w:val="00AB2F4A"/>
    <w:rsid w:val="00AC3956"/>
    <w:rsid w:val="00AD17FC"/>
    <w:rsid w:val="00AE17B2"/>
    <w:rsid w:val="00AE4FC7"/>
    <w:rsid w:val="00AF4202"/>
    <w:rsid w:val="00B00ED3"/>
    <w:rsid w:val="00B22A0D"/>
    <w:rsid w:val="00B26440"/>
    <w:rsid w:val="00B403AE"/>
    <w:rsid w:val="00B516E2"/>
    <w:rsid w:val="00B56C0F"/>
    <w:rsid w:val="00B5798B"/>
    <w:rsid w:val="00B7389D"/>
    <w:rsid w:val="00BB059B"/>
    <w:rsid w:val="00BC1707"/>
    <w:rsid w:val="00BF3516"/>
    <w:rsid w:val="00C1276A"/>
    <w:rsid w:val="00C258D3"/>
    <w:rsid w:val="00C436D2"/>
    <w:rsid w:val="00C76422"/>
    <w:rsid w:val="00C91FEB"/>
    <w:rsid w:val="00C92AD9"/>
    <w:rsid w:val="00CA2871"/>
    <w:rsid w:val="00CB128F"/>
    <w:rsid w:val="00CB450F"/>
    <w:rsid w:val="00CD4EED"/>
    <w:rsid w:val="00D072C6"/>
    <w:rsid w:val="00D65CFB"/>
    <w:rsid w:val="00D66C67"/>
    <w:rsid w:val="00D70205"/>
    <w:rsid w:val="00D80148"/>
    <w:rsid w:val="00D93C7E"/>
    <w:rsid w:val="00DA147A"/>
    <w:rsid w:val="00DB4FD3"/>
    <w:rsid w:val="00DC0A80"/>
    <w:rsid w:val="00DF0EE2"/>
    <w:rsid w:val="00DF4DA2"/>
    <w:rsid w:val="00E12143"/>
    <w:rsid w:val="00E23C44"/>
    <w:rsid w:val="00E25842"/>
    <w:rsid w:val="00E40124"/>
    <w:rsid w:val="00E50521"/>
    <w:rsid w:val="00E55C25"/>
    <w:rsid w:val="00E818F3"/>
    <w:rsid w:val="00E928AE"/>
    <w:rsid w:val="00E92B28"/>
    <w:rsid w:val="00EA3B4E"/>
    <w:rsid w:val="00EB1BCD"/>
    <w:rsid w:val="00EC7340"/>
    <w:rsid w:val="00EE1F95"/>
    <w:rsid w:val="00EE726B"/>
    <w:rsid w:val="00EF7CA2"/>
    <w:rsid w:val="00F020DD"/>
    <w:rsid w:val="00F16178"/>
    <w:rsid w:val="00F2029A"/>
    <w:rsid w:val="00F241B2"/>
    <w:rsid w:val="00F25AB1"/>
    <w:rsid w:val="00F36E9E"/>
    <w:rsid w:val="00F41889"/>
    <w:rsid w:val="00F54E14"/>
    <w:rsid w:val="00F56126"/>
    <w:rsid w:val="00F60C22"/>
    <w:rsid w:val="00F76F6F"/>
    <w:rsid w:val="00FA7D7E"/>
    <w:rsid w:val="00FB3DC9"/>
    <w:rsid w:val="00FB7173"/>
    <w:rsid w:val="00FC29CC"/>
    <w:rsid w:val="00FE70EB"/>
    <w:rsid w:val="12D70724"/>
    <w:rsid w:val="16CB237B"/>
    <w:rsid w:val="3BD14FA8"/>
    <w:rsid w:val="3C377FE9"/>
    <w:rsid w:val="544137FC"/>
    <w:rsid w:val="73405E43"/>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25"/>
    <w:unhideWhenUsed/>
    <w:qFormat/>
    <w:uiPriority w:val="0"/>
    <w:pPr>
      <w:keepNext/>
      <w:keepLines/>
      <w:spacing w:before="260" w:after="260" w:line="413" w:lineRule="auto"/>
      <w:outlineLvl w:val="1"/>
    </w:pPr>
    <w:rPr>
      <w:rFonts w:ascii="Arial" w:hAnsi="Arial" w:eastAsia="黑体" w:cs="Times New Roman"/>
      <w:b/>
      <w:sz w:val="32"/>
      <w:szCs w:val="24"/>
    </w:rPr>
  </w:style>
  <w:style w:type="paragraph" w:styleId="4">
    <w:name w:val="heading 3"/>
    <w:basedOn w:val="1"/>
    <w:next w:val="1"/>
    <w:link w:val="26"/>
    <w:unhideWhenUsed/>
    <w:qFormat/>
    <w:uiPriority w:val="0"/>
    <w:pPr>
      <w:keepNext/>
      <w:keepLines/>
      <w:spacing w:before="260" w:after="260" w:line="413" w:lineRule="auto"/>
      <w:outlineLvl w:val="2"/>
    </w:pPr>
    <w:rPr>
      <w:rFonts w:ascii="Times New Roman" w:hAnsi="Times New Roman" w:eastAsia="宋体" w:cs="Times New Roman"/>
      <w:b/>
      <w:sz w:val="32"/>
      <w:szCs w:val="24"/>
    </w:rPr>
  </w:style>
  <w:style w:type="paragraph" w:styleId="5">
    <w:name w:val="heading 4"/>
    <w:basedOn w:val="1"/>
    <w:next w:val="1"/>
    <w:link w:val="27"/>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1"/>
    <w:unhideWhenUsed/>
    <w:qFormat/>
    <w:uiPriority w:val="0"/>
    <w:pPr>
      <w:jc w:val="left"/>
    </w:pPr>
  </w:style>
  <w:style w:type="paragraph" w:styleId="7">
    <w:name w:val="Balloon Text"/>
    <w:basedOn w:val="1"/>
    <w:link w:val="23"/>
    <w:unhideWhenUsed/>
    <w:qFormat/>
    <w:uiPriority w:val="0"/>
    <w:rPr>
      <w:sz w:val="18"/>
      <w:szCs w:val="18"/>
    </w:rPr>
  </w:style>
  <w:style w:type="paragraph" w:styleId="8">
    <w:name w:val="footer"/>
    <w:basedOn w:val="1"/>
    <w:link w:val="19"/>
    <w:unhideWhenUsed/>
    <w:qFormat/>
    <w:uiPriority w:val="0"/>
    <w:pPr>
      <w:tabs>
        <w:tab w:val="center" w:pos="4153"/>
        <w:tab w:val="right" w:pos="8306"/>
      </w:tabs>
      <w:snapToGrid w:val="0"/>
      <w:jc w:val="left"/>
    </w:pPr>
    <w:rPr>
      <w:sz w:val="18"/>
      <w:szCs w:val="18"/>
    </w:rPr>
  </w:style>
  <w:style w:type="paragraph" w:styleId="9">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0"/>
    <w:pPr>
      <w:spacing w:line="360" w:lineRule="auto"/>
      <w:ind w:firstLine="700" w:firstLineChars="250"/>
    </w:pPr>
    <w:rPr>
      <w:rFonts w:ascii="Times New Roman" w:hAnsi="Times New Roman" w:eastAsia="仿宋" w:cs="Times New Roman"/>
      <w:sz w:val="24"/>
      <w:szCs w:val="24"/>
    </w:rPr>
  </w:style>
  <w:style w:type="paragraph" w:styleId="11">
    <w:name w:val="annotation subject"/>
    <w:basedOn w:val="6"/>
    <w:next w:val="6"/>
    <w:link w:val="22"/>
    <w:unhideWhenUsed/>
    <w:qFormat/>
    <w:uiPriority w:val="0"/>
    <w:rPr>
      <w:b/>
      <w:bCs/>
    </w:rPr>
  </w:style>
  <w:style w:type="table" w:styleId="13">
    <w:name w:val="Table Grid"/>
    <w:basedOn w:val="12"/>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semiHidden/>
    <w:unhideWhenUsed/>
    <w:qFormat/>
    <w:uiPriority w:val="99"/>
    <w:rPr>
      <w:color w:val="800080"/>
      <w:u w:val="single"/>
    </w:rPr>
  </w:style>
  <w:style w:type="character" w:styleId="16">
    <w:name w:val="Hyperlink"/>
    <w:basedOn w:val="14"/>
    <w:semiHidden/>
    <w:unhideWhenUsed/>
    <w:qFormat/>
    <w:uiPriority w:val="99"/>
    <w:rPr>
      <w:color w:val="0000FF"/>
      <w:u w:val="single"/>
    </w:rPr>
  </w:style>
  <w:style w:type="character" w:styleId="17">
    <w:name w:val="annotation reference"/>
    <w:basedOn w:val="14"/>
    <w:unhideWhenUsed/>
    <w:qFormat/>
    <w:uiPriority w:val="0"/>
    <w:rPr>
      <w:sz w:val="21"/>
      <w:szCs w:val="21"/>
    </w:rPr>
  </w:style>
  <w:style w:type="character" w:customStyle="1" w:styleId="18">
    <w:name w:val="页眉 字符"/>
    <w:basedOn w:val="14"/>
    <w:link w:val="9"/>
    <w:qFormat/>
    <w:uiPriority w:val="99"/>
    <w:rPr>
      <w:sz w:val="18"/>
      <w:szCs w:val="18"/>
    </w:rPr>
  </w:style>
  <w:style w:type="character" w:customStyle="1" w:styleId="19">
    <w:name w:val="页脚 字符"/>
    <w:basedOn w:val="14"/>
    <w:link w:val="8"/>
    <w:qFormat/>
    <w:uiPriority w:val="99"/>
    <w:rPr>
      <w:sz w:val="18"/>
      <w:szCs w:val="18"/>
    </w:rPr>
  </w:style>
  <w:style w:type="paragraph" w:styleId="20">
    <w:name w:val="List Paragraph"/>
    <w:basedOn w:val="1"/>
    <w:qFormat/>
    <w:uiPriority w:val="34"/>
    <w:pPr>
      <w:spacing w:line="360" w:lineRule="auto"/>
      <w:ind w:firstLine="420" w:firstLineChars="200"/>
    </w:pPr>
    <w:rPr>
      <w:rFonts w:ascii="仿宋" w:hAnsi="仿宋" w:eastAsia="仿宋" w:cs="Times New Roman"/>
      <w:sz w:val="28"/>
      <w:szCs w:val="28"/>
    </w:rPr>
  </w:style>
  <w:style w:type="character" w:customStyle="1" w:styleId="21">
    <w:name w:val="批注文字 字符"/>
    <w:basedOn w:val="14"/>
    <w:link w:val="6"/>
    <w:qFormat/>
    <w:uiPriority w:val="0"/>
  </w:style>
  <w:style w:type="character" w:customStyle="1" w:styleId="22">
    <w:name w:val="批注主题 字符"/>
    <w:basedOn w:val="21"/>
    <w:link w:val="11"/>
    <w:qFormat/>
    <w:uiPriority w:val="0"/>
    <w:rPr>
      <w:b/>
      <w:bCs/>
    </w:rPr>
  </w:style>
  <w:style w:type="character" w:customStyle="1" w:styleId="23">
    <w:name w:val="批注框文本 字符"/>
    <w:basedOn w:val="14"/>
    <w:link w:val="7"/>
    <w:qFormat/>
    <w:uiPriority w:val="0"/>
    <w:rPr>
      <w:sz w:val="18"/>
      <w:szCs w:val="18"/>
    </w:rPr>
  </w:style>
  <w:style w:type="character" w:customStyle="1" w:styleId="24">
    <w:name w:val="标题 1 字符"/>
    <w:basedOn w:val="14"/>
    <w:link w:val="2"/>
    <w:qFormat/>
    <w:uiPriority w:val="0"/>
    <w:rPr>
      <w:rFonts w:ascii="Times New Roman" w:hAnsi="Times New Roman" w:eastAsia="宋体" w:cs="Times New Roman"/>
      <w:b/>
      <w:bCs/>
      <w:kern w:val="44"/>
      <w:sz w:val="44"/>
      <w:szCs w:val="44"/>
    </w:rPr>
  </w:style>
  <w:style w:type="character" w:customStyle="1" w:styleId="25">
    <w:name w:val="标题 2 字符"/>
    <w:basedOn w:val="14"/>
    <w:link w:val="3"/>
    <w:qFormat/>
    <w:uiPriority w:val="0"/>
    <w:rPr>
      <w:rFonts w:ascii="Arial" w:hAnsi="Arial" w:eastAsia="黑体" w:cs="Times New Roman"/>
      <w:b/>
      <w:kern w:val="2"/>
      <w:sz w:val="32"/>
      <w:szCs w:val="24"/>
    </w:rPr>
  </w:style>
  <w:style w:type="character" w:customStyle="1" w:styleId="26">
    <w:name w:val="标题 3 字符"/>
    <w:basedOn w:val="14"/>
    <w:link w:val="4"/>
    <w:qFormat/>
    <w:uiPriority w:val="0"/>
    <w:rPr>
      <w:rFonts w:ascii="Times New Roman" w:hAnsi="Times New Roman" w:eastAsia="宋体" w:cs="Times New Roman"/>
      <w:b/>
      <w:kern w:val="2"/>
      <w:sz w:val="32"/>
      <w:szCs w:val="24"/>
    </w:rPr>
  </w:style>
  <w:style w:type="character" w:customStyle="1" w:styleId="27">
    <w:name w:val="标题 4 字符"/>
    <w:basedOn w:val="14"/>
    <w:link w:val="5"/>
    <w:semiHidden/>
    <w:qFormat/>
    <w:uiPriority w:val="9"/>
    <w:rPr>
      <w:rFonts w:asciiTheme="majorHAnsi" w:hAnsiTheme="majorHAnsi" w:eastAsiaTheme="majorEastAsia" w:cstheme="majorBidi"/>
      <w:b/>
      <w:bCs/>
      <w:kern w:val="2"/>
      <w:sz w:val="28"/>
      <w:szCs w:val="28"/>
    </w:rPr>
  </w:style>
  <w:style w:type="table" w:customStyle="1" w:styleId="28">
    <w:name w:val="网格型6"/>
    <w:basedOn w:val="12"/>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网格型61"/>
    <w:basedOn w:val="12"/>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1">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2">
    <w:name w:val="xl68"/>
    <w:basedOn w:val="1"/>
    <w:qFormat/>
    <w:uiPriority w:val="0"/>
    <w:pPr>
      <w:widowControl/>
      <w:spacing w:before="100" w:beforeAutospacing="1" w:after="100" w:afterAutospacing="1"/>
      <w:jc w:val="left"/>
    </w:pPr>
    <w:rPr>
      <w:rFonts w:ascii="仿宋" w:hAnsi="仿宋" w:eastAsia="仿宋" w:cs="宋体"/>
      <w:kern w:val="0"/>
      <w:sz w:val="18"/>
      <w:szCs w:val="18"/>
    </w:rPr>
  </w:style>
  <w:style w:type="paragraph" w:customStyle="1" w:styleId="33">
    <w:name w:val="xl69"/>
    <w:basedOn w:val="1"/>
    <w:qFormat/>
    <w:uiPriority w:val="0"/>
    <w:pPr>
      <w:widowControl/>
      <w:spacing w:before="100" w:beforeAutospacing="1" w:after="100" w:afterAutospacing="1"/>
      <w:jc w:val="left"/>
    </w:pPr>
    <w:rPr>
      <w:rFonts w:ascii="仿宋" w:hAnsi="仿宋" w:eastAsia="仿宋" w:cs="宋体"/>
      <w:kern w:val="0"/>
      <w:sz w:val="24"/>
      <w:szCs w:val="24"/>
    </w:rPr>
  </w:style>
  <w:style w:type="paragraph" w:customStyle="1" w:styleId="34">
    <w:name w:val="xl70"/>
    <w:basedOn w:val="1"/>
    <w:qFormat/>
    <w:uiPriority w:val="0"/>
    <w:pPr>
      <w:widowControl/>
      <w:spacing w:before="100" w:beforeAutospacing="1" w:after="100" w:afterAutospacing="1"/>
      <w:jc w:val="left"/>
    </w:pPr>
    <w:rPr>
      <w:rFonts w:ascii="仿宋" w:hAnsi="仿宋" w:eastAsia="仿宋" w:cs="宋体"/>
      <w:kern w:val="0"/>
      <w:sz w:val="24"/>
      <w:szCs w:val="24"/>
    </w:rPr>
  </w:style>
  <w:style w:type="paragraph" w:customStyle="1" w:styleId="35">
    <w:name w:val="xl71"/>
    <w:basedOn w:val="1"/>
    <w:qFormat/>
    <w:uiPriority w:val="0"/>
    <w:pPr>
      <w:widowControl/>
      <w:spacing w:before="100" w:beforeAutospacing="1" w:after="100" w:afterAutospacing="1"/>
      <w:jc w:val="left"/>
    </w:pPr>
    <w:rPr>
      <w:rFonts w:ascii="仿宋" w:hAnsi="仿宋" w:eastAsia="仿宋" w:cs="宋体"/>
      <w:kern w:val="0"/>
      <w:sz w:val="24"/>
      <w:szCs w:val="24"/>
    </w:rPr>
  </w:style>
  <w:style w:type="paragraph" w:customStyle="1" w:styleId="3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18"/>
      <w:szCs w:val="18"/>
    </w:rPr>
  </w:style>
  <w:style w:type="paragraph" w:customStyle="1" w:styleId="3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18"/>
      <w:szCs w:val="18"/>
    </w:rPr>
  </w:style>
  <w:style w:type="paragraph" w:customStyle="1" w:styleId="3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18"/>
      <w:szCs w:val="18"/>
    </w:rPr>
  </w:style>
  <w:style w:type="paragraph" w:customStyle="1" w:styleId="3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28"/>
      <w:szCs w:val="28"/>
    </w:rPr>
  </w:style>
  <w:style w:type="paragraph" w:customStyle="1" w:styleId="4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28"/>
      <w:szCs w:val="28"/>
    </w:rPr>
  </w:style>
  <w:style w:type="paragraph" w:customStyle="1" w:styleId="4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仿宋" w:hAnsi="仿宋" w:eastAsia="仿宋" w:cs="宋体"/>
      <w:kern w:val="0"/>
      <w:sz w:val="18"/>
      <w:szCs w:val="18"/>
    </w:rPr>
  </w:style>
  <w:style w:type="paragraph" w:customStyle="1" w:styleId="4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仿宋" w:hAnsi="仿宋" w:eastAsia="仿宋" w:cs="宋体"/>
      <w:kern w:val="0"/>
      <w:sz w:val="18"/>
      <w:szCs w:val="18"/>
    </w:rPr>
  </w:style>
  <w:style w:type="table" w:customStyle="1" w:styleId="43">
    <w:name w:val="Grid Table Light"/>
    <w:basedOn w:val="12"/>
    <w:qFormat/>
    <w:uiPriority w:val="40"/>
    <w:rPr>
      <w:kern w:val="2"/>
      <w:sz w:val="21"/>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44">
    <w:name w:val="正文正文"/>
    <w:basedOn w:val="1"/>
    <w:link w:val="45"/>
    <w:autoRedefine/>
    <w:qFormat/>
    <w:uiPriority w:val="0"/>
    <w:pPr>
      <w:jc w:val="left"/>
    </w:pPr>
    <w:rPr>
      <w:rFonts w:ascii="仿宋_GB2312" w:hAnsi="Times New Roman" w:eastAsia="仿宋_GB2312" w:cs="Times New Roman"/>
      <w:kern w:val="0"/>
      <w:szCs w:val="21"/>
    </w:rPr>
  </w:style>
  <w:style w:type="character" w:customStyle="1" w:styleId="45">
    <w:name w:val="正文正文 字符"/>
    <w:basedOn w:val="14"/>
    <w:link w:val="44"/>
    <w:qFormat/>
    <w:uiPriority w:val="0"/>
    <w:rPr>
      <w:rFonts w:ascii="仿宋_GB2312" w:hAnsi="Times New Roman" w:eastAsia="仿宋_GB2312" w:cs="Times New Roman"/>
      <w:sz w:val="21"/>
      <w:szCs w:val="21"/>
    </w:rPr>
  </w:style>
  <w:style w:type="table" w:customStyle="1" w:styleId="46">
    <w:name w:val="网格型浅色1"/>
    <w:basedOn w:val="12"/>
    <w:qFormat/>
    <w:uiPriority w:val="40"/>
    <w:rPr>
      <w:rFonts w:ascii="Times New Roman" w:hAnsi="Times New Roman" w:eastAsia="宋体" w:cs="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BD0834-B301-40E2-8C6B-22AB0D6A0648}">
  <ds:schemaRefs/>
</ds:datastoreItem>
</file>

<file path=docProps/app.xml><?xml version="1.0" encoding="utf-8"?>
<Properties xmlns="http://schemas.openxmlformats.org/officeDocument/2006/extended-properties" xmlns:vt="http://schemas.openxmlformats.org/officeDocument/2006/docPropsVTypes">
  <Template>Normal</Template>
  <Pages>5</Pages>
  <Words>1178</Words>
  <Characters>1374</Characters>
  <Lines>10</Lines>
  <Paragraphs>2</Paragraphs>
  <TotalTime>0</TotalTime>
  <ScaleCrop>false</ScaleCrop>
  <LinksUpToDate>false</LinksUpToDate>
  <CharactersWithSpaces>1380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2024-12-04T06:39:00Z</dcterms:created>
  <dc:creator>黄月琴</dc:creator>
  <cp:lastModifiedBy>王烜</cp:lastModifiedBy>
  <cp:lastPrinted>2025-02-11T09:23:00Z</cp:lastPrinted>
  <dcterms:modified xsi:type="dcterms:W3CDTF">2026-05-26T08:45:27Z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1957C739327A46CCAC9B9DE4166AA4B1_13</vt:lpwstr>
  </property>
  <property fmtid="{D5CDD505-2E9C-101B-9397-08002B2CF9AE}" pid="4" name="KSOTemplateDocerSaveRecord">
    <vt:lpwstr>eyJoZGlkIjoiNTJkY2QwZDk0N2NjNDgyZWNiNjQ5YjQzNjg5MWYyNjMiLCJ1c2VySWQiOiIzODUwMDExMDIifQ==</vt:lpwstr>
  </property>
</Properties>
</file>