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27BFA993"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275584" w:rsidRPr="00275584">
        <w:rPr>
          <w:rFonts w:ascii="仿宋_GB2312" w:eastAsia="仿宋_GB2312" w:hAnsi="宋体" w:hint="eastAsia"/>
          <w:sz w:val="28"/>
          <w:szCs w:val="28"/>
          <w:u w:val="single"/>
        </w:rPr>
        <w:t>肇庆市华友商贸有限公司</w:t>
      </w:r>
      <w:r w:rsidR="00F96D87" w:rsidRPr="00F96D87">
        <w:rPr>
          <w:rFonts w:ascii="仿宋_GB2312" w:eastAsia="仿宋_GB2312" w:hAnsi="宋体" w:hint="eastAsia"/>
          <w:sz w:val="28"/>
          <w:szCs w:val="28"/>
          <w:u w:val="single"/>
        </w:rPr>
        <w:t>等</w:t>
      </w:r>
      <w:r w:rsidR="00575764">
        <w:rPr>
          <w:rFonts w:ascii="仿宋_GB2312" w:eastAsia="仿宋_GB2312" w:hAnsi="宋体"/>
          <w:sz w:val="28"/>
          <w:szCs w:val="28"/>
          <w:u w:val="single"/>
        </w:rPr>
        <w:t>4</w:t>
      </w:r>
      <w:r w:rsidR="00F96D87" w:rsidRPr="00F96D87">
        <w:rPr>
          <w:rFonts w:ascii="仿宋_GB2312" w:eastAsia="仿宋_GB2312" w:hAnsi="宋体" w:hint="eastAsia"/>
          <w:sz w:val="28"/>
          <w:szCs w:val="28"/>
          <w:u w:val="single"/>
        </w:rPr>
        <w:t>户</w:t>
      </w:r>
      <w:r w:rsidR="00F96D87">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06A1C0D2"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275584" w:rsidRPr="00275584">
        <w:rPr>
          <w:rFonts w:ascii="仿宋_GB2312" w:eastAsia="仿宋_GB2312" w:hAnsi="宋体" w:hint="eastAsia"/>
          <w:sz w:val="28"/>
          <w:szCs w:val="28"/>
          <w:u w:val="single"/>
        </w:rPr>
        <w:t>肇庆市华友商贸有限公司</w:t>
      </w:r>
      <w:r w:rsidR="00F96D87" w:rsidRPr="00F96D87">
        <w:rPr>
          <w:rFonts w:ascii="仿宋_GB2312" w:eastAsia="仿宋_GB2312" w:hAnsi="宋体" w:hint="eastAsia"/>
          <w:sz w:val="28"/>
          <w:szCs w:val="28"/>
          <w:u w:val="single"/>
        </w:rPr>
        <w:t>等</w:t>
      </w:r>
      <w:r w:rsidR="00575764">
        <w:rPr>
          <w:rFonts w:ascii="仿宋_GB2312" w:eastAsia="仿宋_GB2312" w:hAnsi="宋体"/>
          <w:sz w:val="28"/>
          <w:szCs w:val="28"/>
          <w:u w:val="single"/>
        </w:rPr>
        <w:t>4</w:t>
      </w:r>
      <w:r w:rsidR="00F96D87" w:rsidRPr="00F96D87">
        <w:rPr>
          <w:rFonts w:ascii="仿宋_GB2312" w:eastAsia="仿宋_GB2312" w:hAnsi="宋体" w:hint="eastAsia"/>
          <w:sz w:val="28"/>
          <w:szCs w:val="28"/>
          <w:u w:val="single"/>
        </w:rPr>
        <w:t>户债权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6E65A4AA"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275584">
        <w:rPr>
          <w:rFonts w:ascii="仿宋_GB2312" w:eastAsia="仿宋_GB2312" w:hAnsi="宋体"/>
          <w:sz w:val="28"/>
          <w:szCs w:val="28"/>
        </w:rPr>
        <w:t>1</w:t>
      </w:r>
      <w:r w:rsidR="00A05B41">
        <w:rPr>
          <w:rFonts w:ascii="仿宋_GB2312" w:eastAsia="仿宋_GB2312" w:hAnsi="宋体"/>
          <w:sz w:val="28"/>
          <w:szCs w:val="28"/>
        </w:rPr>
        <w:t>31</w:t>
      </w:r>
      <w:bookmarkStart w:id="0" w:name="_GoBack"/>
      <w:bookmarkEnd w:id="0"/>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CB8E" w14:textId="77777777" w:rsidR="00930AEB" w:rsidRDefault="00930AEB" w:rsidP="00A80754">
      <w:r>
        <w:separator/>
      </w:r>
    </w:p>
  </w:endnote>
  <w:endnote w:type="continuationSeparator" w:id="0">
    <w:p w14:paraId="0D22CDBD" w14:textId="77777777" w:rsidR="00930AEB" w:rsidRDefault="00930AEB"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D90D4" w14:textId="77777777" w:rsidR="00930AEB" w:rsidRDefault="00930AEB" w:rsidP="00A80754">
      <w:r>
        <w:separator/>
      </w:r>
    </w:p>
  </w:footnote>
  <w:footnote w:type="continuationSeparator" w:id="0">
    <w:p w14:paraId="150E0DBD" w14:textId="77777777" w:rsidR="00930AEB" w:rsidRDefault="00930AEB"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05E5"/>
    <w:rsid w:val="00197FBB"/>
    <w:rsid w:val="001A52AD"/>
    <w:rsid w:val="00275584"/>
    <w:rsid w:val="002C49E0"/>
    <w:rsid w:val="00307583"/>
    <w:rsid w:val="003E4253"/>
    <w:rsid w:val="004029DF"/>
    <w:rsid w:val="005566A8"/>
    <w:rsid w:val="005670EA"/>
    <w:rsid w:val="00575764"/>
    <w:rsid w:val="00757E31"/>
    <w:rsid w:val="00797B6D"/>
    <w:rsid w:val="007B4713"/>
    <w:rsid w:val="00930AEB"/>
    <w:rsid w:val="00953ACB"/>
    <w:rsid w:val="00A05B41"/>
    <w:rsid w:val="00A353E1"/>
    <w:rsid w:val="00A72428"/>
    <w:rsid w:val="00A80754"/>
    <w:rsid w:val="00AA1BD5"/>
    <w:rsid w:val="00AB565F"/>
    <w:rsid w:val="00B3501C"/>
    <w:rsid w:val="00B657E1"/>
    <w:rsid w:val="00D2280F"/>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20</cp:revision>
  <dcterms:created xsi:type="dcterms:W3CDTF">2021-11-30T06:02:00Z</dcterms:created>
  <dcterms:modified xsi:type="dcterms:W3CDTF">2026-03-06T01:12:00Z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