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37988">
      <w:pPr>
        <w:jc w:val="center"/>
        <w:rPr>
          <w:rFonts w:hint="eastAsia" w:ascii="华文中宋" w:hAnsi="华文中宋" w:eastAsia="华文中宋"/>
          <w:bCs/>
          <w:sz w:val="44"/>
          <w:szCs w:val="44"/>
        </w:rPr>
      </w:pPr>
      <w:r>
        <w:rPr>
          <w:rFonts w:hint="eastAsia" w:ascii="华文中宋" w:hAnsi="华文中宋" w:eastAsia="华文中宋"/>
          <w:bCs/>
          <w:sz w:val="44"/>
          <w:szCs w:val="44"/>
        </w:rPr>
        <w:t>标的物介绍</w:t>
      </w:r>
    </w:p>
    <w:p w14:paraId="4CDA034A">
      <w:pPr>
        <w:rPr>
          <w:rFonts w:hint="eastAsia" w:ascii="SimHei" w:hAnsi="SimHei" w:eastAsia="SimHei"/>
          <w:sz w:val="32"/>
          <w:szCs w:val="32"/>
        </w:rPr>
      </w:pPr>
      <w:r>
        <w:rPr>
          <w:rFonts w:hint="eastAsia" w:ascii="SimHei" w:hAnsi="SimHei" w:eastAsia="SimHei"/>
          <w:sz w:val="32"/>
          <w:szCs w:val="32"/>
        </w:rPr>
        <w:t>一、基本情况</w:t>
      </w:r>
    </w:p>
    <w:p w14:paraId="083BA3EE">
      <w:pPr>
        <w:spacing w:line="360" w:lineRule="auto"/>
        <w:ind w:firstLine="708" w:firstLineChars="252"/>
        <w:rPr>
          <w:rFonts w:hint="eastAsia" w:ascii="仿宋" w:hAnsi="仿宋" w:eastAsia="仿宋"/>
          <w:sz w:val="28"/>
          <w:szCs w:val="24"/>
        </w:rPr>
      </w:pPr>
      <w:bookmarkStart w:id="0" w:name="_Hlk89712118"/>
      <w:r>
        <w:rPr>
          <w:rFonts w:hint="eastAsia" w:ascii="仿宋" w:hAnsi="仿宋" w:eastAsia="仿宋"/>
          <w:b/>
          <w:bCs/>
          <w:sz w:val="28"/>
          <w:szCs w:val="24"/>
          <w:u w:val="single"/>
          <w:lang w:eastAsia="zh-CN"/>
        </w:rPr>
        <w:t>广东元邦房地产开发有限公司</w:t>
      </w:r>
      <w:r>
        <w:rPr>
          <w:rFonts w:hint="eastAsia" w:ascii="仿宋" w:hAnsi="仿宋" w:eastAsia="仿宋"/>
          <w:b/>
          <w:bCs/>
          <w:sz w:val="28"/>
          <w:szCs w:val="24"/>
          <w:u w:val="single"/>
          <w:lang w:val="en-US" w:eastAsia="zh-CN"/>
        </w:rPr>
        <w:t>2</w:t>
      </w:r>
      <w:r>
        <w:rPr>
          <w:rFonts w:hint="eastAsia" w:ascii="仿宋" w:hAnsi="仿宋" w:eastAsia="仿宋"/>
          <w:b/>
          <w:bCs/>
          <w:sz w:val="28"/>
          <w:szCs w:val="24"/>
          <w:u w:val="single"/>
          <w:lang w:eastAsia="zh-CN"/>
        </w:rPr>
        <w:t>户不良债权</w:t>
      </w:r>
      <w:r>
        <w:rPr>
          <w:rFonts w:ascii="仿宋" w:hAnsi="仿宋" w:eastAsia="仿宋"/>
          <w:sz w:val="28"/>
          <w:szCs w:val="24"/>
          <w:u w:val="single"/>
        </w:rPr>
        <w:t>（下称“标的债权”），</w:t>
      </w:r>
      <w:r>
        <w:rPr>
          <w:rFonts w:hint="eastAsia" w:ascii="仿宋" w:hAnsi="仿宋" w:eastAsia="仿宋"/>
          <w:sz w:val="28"/>
          <w:szCs w:val="24"/>
        </w:rPr>
        <w:t>截至基准日</w:t>
      </w:r>
      <w:r>
        <w:rPr>
          <w:rFonts w:hint="eastAsia" w:ascii="仿宋" w:hAnsi="仿宋" w:eastAsia="仿宋"/>
          <w:sz w:val="28"/>
          <w:szCs w:val="24"/>
          <w:u w:val="single"/>
        </w:rPr>
        <w:t>2025年</w:t>
      </w:r>
      <w:r>
        <w:rPr>
          <w:rFonts w:hint="eastAsia" w:ascii="仿宋" w:hAnsi="仿宋" w:eastAsia="仿宋"/>
          <w:sz w:val="28"/>
          <w:szCs w:val="24"/>
          <w:u w:val="single"/>
          <w:lang w:val="en-US" w:eastAsia="zh-CN"/>
        </w:rPr>
        <w:t>12</w:t>
      </w:r>
      <w:r>
        <w:rPr>
          <w:rFonts w:hint="eastAsia" w:ascii="仿宋" w:hAnsi="仿宋" w:eastAsia="仿宋"/>
          <w:sz w:val="28"/>
          <w:szCs w:val="24"/>
          <w:u w:val="single"/>
        </w:rPr>
        <w:t>月31日</w:t>
      </w:r>
      <w:r>
        <w:rPr>
          <w:rFonts w:ascii="仿宋" w:hAnsi="仿宋" w:eastAsia="仿宋"/>
          <w:sz w:val="28"/>
          <w:szCs w:val="24"/>
        </w:rPr>
        <w:t>，</w:t>
      </w:r>
      <w:r>
        <w:rPr>
          <w:rFonts w:hint="eastAsia" w:ascii="仿宋" w:hAnsi="仿宋" w:eastAsia="仿宋"/>
          <w:sz w:val="28"/>
          <w:szCs w:val="24"/>
        </w:rPr>
        <w:t>标的债权本金</w:t>
      </w:r>
      <w:r>
        <w:rPr>
          <w:rFonts w:hint="eastAsia" w:ascii="仿宋" w:hAnsi="仿宋" w:eastAsia="仿宋"/>
          <w:sz w:val="28"/>
          <w:szCs w:val="24"/>
          <w:highlight w:val="none"/>
          <w:u w:val="single"/>
          <w:lang w:val="en-US" w:eastAsia="zh-CN"/>
        </w:rPr>
        <w:t>20,632.60</w:t>
      </w:r>
      <w:r>
        <w:rPr>
          <w:rFonts w:hint="eastAsia" w:ascii="仿宋" w:hAnsi="仿宋" w:eastAsia="仿宋"/>
          <w:sz w:val="28"/>
          <w:szCs w:val="24"/>
        </w:rPr>
        <w:t>万</w:t>
      </w:r>
      <w:r>
        <w:rPr>
          <w:rFonts w:ascii="仿宋" w:hAnsi="仿宋" w:eastAsia="仿宋"/>
          <w:sz w:val="28"/>
          <w:szCs w:val="24"/>
        </w:rPr>
        <w:t>元。</w:t>
      </w:r>
      <w:bookmarkEnd w:id="0"/>
      <w:r>
        <w:rPr>
          <w:rFonts w:hint="eastAsia" w:ascii="仿宋" w:hAnsi="仿宋" w:eastAsia="仿宋"/>
          <w:sz w:val="28"/>
          <w:szCs w:val="24"/>
        </w:rPr>
        <w:t>具体情况如下：</w:t>
      </w:r>
    </w:p>
    <w:p w14:paraId="6344DB2B">
      <w:pPr>
        <w:spacing w:line="360" w:lineRule="auto"/>
        <w:jc w:val="right"/>
        <w:rPr>
          <w:rFonts w:hint="eastAsia" w:ascii="仿宋" w:hAnsi="仿宋" w:eastAsia="仿宋"/>
          <w:sz w:val="28"/>
          <w:szCs w:val="24"/>
        </w:rPr>
      </w:pPr>
      <w:r>
        <w:rPr>
          <w:rFonts w:hint="eastAsia" w:ascii="仿宋" w:hAnsi="仿宋" w:eastAsia="仿宋"/>
          <w:sz w:val="28"/>
          <w:szCs w:val="24"/>
        </w:rPr>
        <w:t>单位：人民币/万元</w:t>
      </w:r>
    </w:p>
    <w:tbl>
      <w:tblPr>
        <w:tblStyle w:val="12"/>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544"/>
        <w:gridCol w:w="1219"/>
        <w:gridCol w:w="936"/>
        <w:gridCol w:w="1028"/>
        <w:gridCol w:w="1029"/>
        <w:gridCol w:w="1409"/>
        <w:gridCol w:w="1241"/>
        <w:gridCol w:w="1073"/>
      </w:tblGrid>
      <w:tr w14:paraId="72C20771">
        <w:trPr>
          <w:trHeight w:val="632" w:hRule="atLeast"/>
          <w:tblHeader/>
          <w:jc w:val="center"/>
        </w:trPr>
        <w:tc>
          <w:tcPr>
            <w:tcW w:w="321" w:type="pct"/>
            <w:shd w:val="clear" w:color="auto" w:fill="FFFFFF"/>
            <w:vAlign w:val="center"/>
          </w:tcPr>
          <w:p w14:paraId="0E553438">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序号</w:t>
            </w:r>
          </w:p>
        </w:tc>
        <w:tc>
          <w:tcPr>
            <w:tcW w:w="719" w:type="pct"/>
            <w:shd w:val="clear" w:color="auto" w:fill="FFFFFF"/>
            <w:vAlign w:val="center"/>
          </w:tcPr>
          <w:p w14:paraId="056B2D20">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借款人名称</w:t>
            </w:r>
          </w:p>
        </w:tc>
        <w:tc>
          <w:tcPr>
            <w:tcW w:w="551" w:type="pct"/>
            <w:shd w:val="clear" w:color="auto" w:fill="FFFFFF"/>
            <w:vAlign w:val="center"/>
          </w:tcPr>
          <w:p w14:paraId="3545F403">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本金</w:t>
            </w:r>
          </w:p>
        </w:tc>
        <w:tc>
          <w:tcPr>
            <w:tcW w:w="606" w:type="pct"/>
            <w:shd w:val="clear" w:color="auto" w:fill="FFFFFF"/>
            <w:vAlign w:val="center"/>
          </w:tcPr>
          <w:p w14:paraId="25BE92A9">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利息</w:t>
            </w:r>
          </w:p>
        </w:tc>
        <w:tc>
          <w:tcPr>
            <w:tcW w:w="606" w:type="pct"/>
            <w:shd w:val="clear" w:color="auto" w:fill="FFFFFF"/>
            <w:vAlign w:val="center"/>
          </w:tcPr>
          <w:p w14:paraId="72887846">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债权金额</w:t>
            </w:r>
          </w:p>
        </w:tc>
        <w:tc>
          <w:tcPr>
            <w:tcW w:w="830" w:type="pct"/>
            <w:shd w:val="clear" w:color="auto" w:fill="FFFFFF"/>
            <w:vAlign w:val="center"/>
          </w:tcPr>
          <w:p w14:paraId="06E1A7CC">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抵质押物情况</w:t>
            </w:r>
          </w:p>
        </w:tc>
        <w:tc>
          <w:tcPr>
            <w:tcW w:w="731" w:type="pct"/>
            <w:shd w:val="clear" w:color="auto" w:fill="FFFFFF"/>
            <w:vAlign w:val="center"/>
          </w:tcPr>
          <w:p w14:paraId="3433DF7E">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保证人</w:t>
            </w:r>
          </w:p>
        </w:tc>
        <w:tc>
          <w:tcPr>
            <w:tcW w:w="632" w:type="pct"/>
            <w:shd w:val="clear" w:color="auto" w:fill="FFFFFF"/>
            <w:vAlign w:val="center"/>
          </w:tcPr>
          <w:p w14:paraId="2CD7CFA4">
            <w:pPr>
              <w:jc w:val="center"/>
              <w:rPr>
                <w:rFonts w:ascii="Times New Roman" w:hAnsi="Times New Roman" w:eastAsia="仿宋_GB2312" w:cs="Times New Roman"/>
                <w:b/>
                <w:sz w:val="18"/>
                <w:szCs w:val="18"/>
              </w:rPr>
            </w:pPr>
            <w:r>
              <w:rPr>
                <w:rFonts w:ascii="Times New Roman" w:hAnsi="Times New Roman" w:eastAsia="仿宋_GB2312" w:cs="Times New Roman"/>
                <w:b/>
                <w:sz w:val="18"/>
                <w:szCs w:val="18"/>
              </w:rPr>
              <w:t>诉讼情况</w:t>
            </w:r>
          </w:p>
        </w:tc>
      </w:tr>
      <w:tr w14:paraId="67CC0A26">
        <w:trPr>
          <w:trHeight w:val="90" w:hRule="atLeast"/>
          <w:jc w:val="center"/>
        </w:trPr>
        <w:tc>
          <w:tcPr>
            <w:tcW w:w="321" w:type="pct"/>
            <w:shd w:val="clear" w:color="auto" w:fill="FFFFFF"/>
            <w:vAlign w:val="center"/>
          </w:tcPr>
          <w:p w14:paraId="2686E08D">
            <w:pPr>
              <w:jc w:val="center"/>
              <w:rPr>
                <w:rFonts w:ascii="Times New Roman" w:hAnsi="Times New Roman" w:eastAsia="仿宋_GB2312" w:cs="Times New Roman"/>
                <w:sz w:val="18"/>
                <w:szCs w:val="18"/>
              </w:rPr>
            </w:pPr>
            <w:r>
              <w:rPr>
                <w:rFonts w:ascii="Times New Roman" w:hAnsi="Times New Roman" w:eastAsia="仿宋_GB2312" w:cs="Times New Roman"/>
                <w:sz w:val="18"/>
                <w:szCs w:val="18"/>
              </w:rPr>
              <w:t>1</w:t>
            </w:r>
          </w:p>
        </w:tc>
        <w:tc>
          <w:tcPr>
            <w:tcW w:w="719" w:type="pct"/>
            <w:shd w:val="clear" w:color="auto" w:fill="FFFFFF"/>
            <w:vAlign w:val="center"/>
          </w:tcPr>
          <w:p w14:paraId="070A56C5">
            <w:pPr>
              <w:jc w:val="center"/>
              <w:rPr>
                <w:rFonts w:ascii="Times New Roman" w:hAnsi="Times New Roman" w:eastAsia="仿宋_GB2312" w:cs="Times New Roman"/>
                <w:sz w:val="18"/>
                <w:szCs w:val="18"/>
              </w:rPr>
            </w:pPr>
            <w:r>
              <w:rPr>
                <w:rFonts w:hint="eastAsia" w:ascii="仿宋_GB2312" w:hAnsi="SimSun" w:eastAsia="仿宋_GB2312" w:cs="SimSun"/>
                <w:kern w:val="0"/>
                <w:sz w:val="18"/>
                <w:szCs w:val="18"/>
              </w:rPr>
              <w:t>广东元邦房地产开发有限公司</w:t>
            </w:r>
          </w:p>
        </w:tc>
        <w:tc>
          <w:tcPr>
            <w:tcW w:w="551" w:type="pct"/>
            <w:shd w:val="clear" w:color="auto" w:fill="auto"/>
            <w:vAlign w:val="center"/>
          </w:tcPr>
          <w:p w14:paraId="3B0A9D07">
            <w:pPr>
              <w:widowControl/>
              <w:jc w:val="center"/>
              <w:textAlignment w:val="center"/>
              <w:rPr>
                <w:rFonts w:ascii="Times New Roman Regular" w:hAnsi="Times New Roman Regular" w:eastAsia="仿宋_GB2312" w:cs="Times New Roman Regular"/>
                <w:kern w:val="0"/>
                <w:sz w:val="18"/>
                <w:szCs w:val="18"/>
              </w:rPr>
            </w:pPr>
            <w:r>
              <w:rPr>
                <w:rFonts w:ascii="Times New Roman Regular" w:hAnsi="Times New Roman Regular" w:eastAsia="仿宋_GB2312" w:cs="Times New Roman Regular"/>
                <w:kern w:val="0"/>
                <w:sz w:val="18"/>
                <w:szCs w:val="18"/>
              </w:rPr>
              <w:t>18,200.00</w:t>
            </w:r>
          </w:p>
        </w:tc>
        <w:tc>
          <w:tcPr>
            <w:tcW w:w="606" w:type="pct"/>
            <w:shd w:val="clear" w:color="auto" w:fill="FFFFFF"/>
            <w:vAlign w:val="center"/>
          </w:tcPr>
          <w:p w14:paraId="072227F2">
            <w:pPr>
              <w:widowControl/>
              <w:jc w:val="center"/>
              <w:textAlignment w:val="center"/>
              <w:rPr>
                <w:rFonts w:hint="eastAsia" w:ascii="Times New Roman Regular" w:hAnsi="Times New Roman Regular" w:eastAsia="仿宋_GB2312" w:cs="Times New Roman Regular"/>
                <w:kern w:val="0"/>
                <w:sz w:val="18"/>
                <w:szCs w:val="18"/>
                <w:lang w:eastAsia="zh-CN"/>
              </w:rPr>
            </w:pPr>
            <w:r>
              <w:rPr>
                <w:rFonts w:hint="eastAsia" w:ascii="Times New Roman Regular" w:hAnsi="Times New Roman Regular" w:eastAsia="仿宋_GB2312" w:cs="Times New Roman Regular"/>
                <w:kern w:val="0"/>
                <w:sz w:val="18"/>
                <w:szCs w:val="18"/>
                <w:lang w:eastAsia="zh-CN"/>
              </w:rPr>
              <w:t>12,425.26</w:t>
            </w:r>
          </w:p>
        </w:tc>
        <w:tc>
          <w:tcPr>
            <w:tcW w:w="606" w:type="pct"/>
            <w:shd w:val="clear" w:color="auto" w:fill="FFFFFF"/>
            <w:vAlign w:val="center"/>
          </w:tcPr>
          <w:p w14:paraId="204CC3BF">
            <w:pPr>
              <w:widowControl/>
              <w:jc w:val="center"/>
              <w:textAlignment w:val="center"/>
              <w:rPr>
                <w:rFonts w:hint="eastAsia" w:ascii="Times New Roman Regular" w:hAnsi="Times New Roman Regular" w:eastAsia="仿宋_GB2312" w:cs="Times New Roman Regular"/>
                <w:kern w:val="0"/>
                <w:sz w:val="18"/>
                <w:szCs w:val="18"/>
                <w:lang w:eastAsia="zh-CN"/>
              </w:rPr>
            </w:pPr>
            <w:r>
              <w:rPr>
                <w:rFonts w:hint="eastAsia" w:ascii="Times New Roman Regular" w:hAnsi="Times New Roman Regular" w:eastAsia="仿宋_GB2312" w:cs="Times New Roman Regular"/>
                <w:kern w:val="0"/>
                <w:sz w:val="18"/>
                <w:szCs w:val="18"/>
                <w:lang w:eastAsia="zh-CN"/>
              </w:rPr>
              <w:t>30,625.26</w:t>
            </w:r>
          </w:p>
        </w:tc>
        <w:tc>
          <w:tcPr>
            <w:tcW w:w="830" w:type="pct"/>
            <w:shd w:val="clear" w:color="auto" w:fill="FFFFFF"/>
            <w:vAlign w:val="center"/>
          </w:tcPr>
          <w:p w14:paraId="6FD3399D">
            <w:pPr>
              <w:jc w:val="left"/>
              <w:rPr>
                <w:rFonts w:hint="eastAsia" w:ascii="仿宋_GB2312" w:hAnsi="SimSun" w:eastAsia="仿宋_GB2312" w:cs="SimSun"/>
                <w:b/>
                <w:bCs/>
                <w:kern w:val="0"/>
                <w:sz w:val="18"/>
                <w:szCs w:val="18"/>
                <w:lang w:val="en-US" w:eastAsia="zh-CN"/>
              </w:rPr>
            </w:pPr>
            <w:r>
              <w:rPr>
                <w:rFonts w:hint="eastAsia" w:ascii="仿宋_GB2312" w:hAnsi="SimSun" w:eastAsia="仿宋_GB2312" w:cs="SimSun"/>
                <w:b/>
                <w:bCs/>
                <w:kern w:val="0"/>
                <w:sz w:val="18"/>
                <w:szCs w:val="18"/>
                <w:lang w:val="en-US" w:eastAsia="zh-CN"/>
              </w:rPr>
              <w:t>第一顺位抵押物：</w:t>
            </w:r>
          </w:p>
          <w:p w14:paraId="14AC33C8">
            <w:pPr>
              <w:jc w:val="left"/>
              <w:rPr>
                <w:rFonts w:ascii="仿宋_GB2312" w:hAnsi="SimSun" w:eastAsia="仿宋_GB2312" w:cs="SimSun"/>
                <w:kern w:val="0"/>
                <w:sz w:val="18"/>
                <w:szCs w:val="18"/>
              </w:rPr>
            </w:pPr>
            <w:r>
              <w:rPr>
                <w:rFonts w:ascii="仿宋_GB2312" w:hAnsi="SimSun" w:eastAsia="仿宋_GB2312" w:cs="SimSun"/>
                <w:kern w:val="0"/>
                <w:sz w:val="18"/>
                <w:szCs w:val="18"/>
              </w:rPr>
              <w:t>1.位于广州市花都区芙蓉镇新杨村的住宅用地，面积为32,920.86m²;</w:t>
            </w:r>
          </w:p>
          <w:p w14:paraId="1502F79E">
            <w:pPr>
              <w:jc w:val="left"/>
              <w:rPr>
                <w:rFonts w:ascii="仿宋_GB2312" w:hAnsi="SimSun" w:eastAsia="仿宋_GB2312" w:cs="SimSun"/>
                <w:kern w:val="0"/>
                <w:sz w:val="18"/>
                <w:szCs w:val="18"/>
              </w:rPr>
            </w:pPr>
            <w:r>
              <w:rPr>
                <w:rFonts w:ascii="仿宋_GB2312" w:hAnsi="SimSun" w:eastAsia="仿宋_GB2312" w:cs="SimSun"/>
                <w:kern w:val="0"/>
                <w:sz w:val="18"/>
                <w:szCs w:val="18"/>
              </w:rPr>
              <w:t>2.位于广州花都区元邦山清水秀项目地下车位10个</w:t>
            </w:r>
          </w:p>
          <w:p w14:paraId="03234FBB">
            <w:pPr>
              <w:jc w:val="left"/>
              <w:rPr>
                <w:rFonts w:ascii="仿宋_GB2312" w:hAnsi="SimSun" w:eastAsia="仿宋_GB2312" w:cs="SimSun"/>
                <w:b/>
                <w:bCs/>
                <w:kern w:val="0"/>
                <w:sz w:val="18"/>
                <w:szCs w:val="18"/>
                <w:highlight w:val="none"/>
              </w:rPr>
            </w:pPr>
            <w:r>
              <w:rPr>
                <w:rFonts w:ascii="仿宋_GB2312" w:hAnsi="SimSun" w:eastAsia="仿宋_GB2312" w:cs="SimSun"/>
                <w:b/>
                <w:bCs/>
                <w:kern w:val="0"/>
                <w:sz w:val="18"/>
                <w:szCs w:val="18"/>
                <w:highlight w:val="none"/>
              </w:rPr>
              <w:t>第二顺位抵押物:</w:t>
            </w:r>
          </w:p>
          <w:p w14:paraId="254D86C0">
            <w:pPr>
              <w:jc w:val="left"/>
              <w:rPr>
                <w:rFonts w:ascii="仿宋_GB2312" w:hAnsi="SimSun" w:eastAsia="仿宋_GB2312" w:cs="SimSun"/>
                <w:kern w:val="0"/>
                <w:sz w:val="18"/>
                <w:szCs w:val="18"/>
                <w:highlight w:val="none"/>
              </w:rPr>
            </w:pPr>
            <w:r>
              <w:rPr>
                <w:rFonts w:ascii="仿宋_GB2312" w:hAnsi="SimSun" w:eastAsia="仿宋_GB2312" w:cs="SimSun"/>
                <w:kern w:val="0"/>
                <w:sz w:val="18"/>
                <w:szCs w:val="18"/>
                <w:highlight w:val="none"/>
              </w:rPr>
              <w:t>1.广州市花都区元邦山清水秀二期项目别墅13套，面积合计3913.14m² ;</w:t>
            </w:r>
          </w:p>
          <w:p w14:paraId="259EA910">
            <w:pPr>
              <w:jc w:val="left"/>
              <w:rPr>
                <w:rFonts w:ascii="仿宋_GB2312" w:hAnsi="SimSun" w:eastAsia="仿宋_GB2312" w:cs="SimSun"/>
                <w:kern w:val="0"/>
                <w:sz w:val="18"/>
                <w:szCs w:val="18"/>
              </w:rPr>
            </w:pPr>
            <w:r>
              <w:rPr>
                <w:rFonts w:ascii="仿宋_GB2312" w:hAnsi="SimSun" w:eastAsia="仿宋_GB2312" w:cs="SimSun"/>
                <w:kern w:val="0"/>
                <w:sz w:val="18"/>
                <w:szCs w:val="18"/>
                <w:highlight w:val="none"/>
              </w:rPr>
              <w:t>2.广州白云区黄石西路599号共7层写字楼，面积合计5361.08m²;</w:t>
            </w:r>
            <w:r>
              <w:rPr>
                <w:rFonts w:ascii="仿宋_GB2312" w:hAnsi="SimSun" w:eastAsia="仿宋_GB2312" w:cs="SimSun"/>
                <w:kern w:val="0"/>
                <w:sz w:val="18"/>
                <w:szCs w:val="18"/>
                <w:highlight w:val="none"/>
              </w:rPr>
              <w:tab/>
            </w:r>
          </w:p>
        </w:tc>
        <w:tc>
          <w:tcPr>
            <w:tcW w:w="731" w:type="pct"/>
            <w:shd w:val="clear" w:color="auto" w:fill="FFFFFF"/>
            <w:vAlign w:val="center"/>
          </w:tcPr>
          <w:p w14:paraId="18140EBF">
            <w:pPr>
              <w:jc w:val="center"/>
              <w:rPr>
                <w:rFonts w:ascii="仿宋_GB2312" w:hAnsi="SimSun" w:eastAsia="仿宋_GB2312" w:cs="SimSun"/>
                <w:kern w:val="0"/>
                <w:sz w:val="18"/>
                <w:szCs w:val="18"/>
              </w:rPr>
            </w:pPr>
            <w:r>
              <w:rPr>
                <w:rFonts w:ascii="仿宋_GB2312" w:hAnsi="SimSun" w:eastAsia="仿宋_GB2312" w:cs="SimSun"/>
                <w:kern w:val="0"/>
                <w:sz w:val="18"/>
                <w:szCs w:val="18"/>
              </w:rPr>
              <w:t>广州元邦房地产开发有限公司、陈建锋、林叶菊、广州佳地新都房地产开发有限公司</w:t>
            </w:r>
          </w:p>
          <w:p w14:paraId="57CA4596">
            <w:pPr>
              <w:jc w:val="center"/>
              <w:rPr>
                <w:rFonts w:ascii="仿宋_GB2312" w:hAnsi="SimSun" w:eastAsia="仿宋_GB2312" w:cs="SimSun"/>
                <w:kern w:val="0"/>
                <w:sz w:val="18"/>
                <w:szCs w:val="18"/>
              </w:rPr>
            </w:pPr>
          </w:p>
        </w:tc>
        <w:tc>
          <w:tcPr>
            <w:tcW w:w="632" w:type="pct"/>
            <w:shd w:val="clear" w:color="auto" w:fill="FFFFFF"/>
            <w:vAlign w:val="center"/>
          </w:tcPr>
          <w:p w14:paraId="39469B22">
            <w:pPr>
              <w:jc w:val="center"/>
              <w:rPr>
                <w:rFonts w:ascii="仿宋_GB2312" w:hAnsi="SimSun" w:eastAsia="仿宋_GB2312" w:cs="SimSun"/>
                <w:kern w:val="0"/>
                <w:sz w:val="18"/>
                <w:szCs w:val="18"/>
              </w:rPr>
            </w:pPr>
            <w:r>
              <w:rPr>
                <w:rFonts w:hint="eastAsia" w:ascii="仿宋_GB2312" w:hAnsi="SimSun" w:eastAsia="仿宋_GB2312" w:cs="SimSun"/>
                <w:kern w:val="0"/>
                <w:sz w:val="18"/>
                <w:szCs w:val="18"/>
              </w:rPr>
              <w:t>一审已判决未生效</w:t>
            </w:r>
          </w:p>
        </w:tc>
      </w:tr>
      <w:tr w14:paraId="183FAB35">
        <w:trPr>
          <w:trHeight w:val="1464" w:hRule="atLeast"/>
          <w:jc w:val="center"/>
        </w:trPr>
        <w:tc>
          <w:tcPr>
            <w:tcW w:w="321" w:type="pct"/>
            <w:shd w:val="clear" w:color="auto" w:fill="FFFFFF"/>
            <w:vAlign w:val="center"/>
          </w:tcPr>
          <w:p w14:paraId="449A3C3B">
            <w:pPr>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p>
        </w:tc>
        <w:tc>
          <w:tcPr>
            <w:tcW w:w="719" w:type="pct"/>
            <w:shd w:val="clear" w:color="auto" w:fill="FFFFFF"/>
            <w:vAlign w:val="center"/>
          </w:tcPr>
          <w:p w14:paraId="05B4735B">
            <w:pPr>
              <w:jc w:val="center"/>
              <w:rPr>
                <w:rFonts w:ascii="Times New Roman" w:hAnsi="Times New Roman" w:eastAsia="仿宋_GB2312" w:cs="Times New Roman"/>
                <w:sz w:val="18"/>
                <w:szCs w:val="18"/>
              </w:rPr>
            </w:pPr>
            <w:r>
              <w:rPr>
                <w:rFonts w:hint="eastAsia" w:ascii="仿宋_GB2312" w:hAnsi="SimSun" w:eastAsia="仿宋_GB2312" w:cs="SimSun"/>
                <w:kern w:val="0"/>
                <w:sz w:val="18"/>
                <w:szCs w:val="18"/>
              </w:rPr>
              <w:t>广东元邦房地产开发有限公司</w:t>
            </w:r>
          </w:p>
        </w:tc>
        <w:tc>
          <w:tcPr>
            <w:tcW w:w="551" w:type="pct"/>
            <w:shd w:val="clear" w:color="auto" w:fill="auto"/>
            <w:vAlign w:val="center"/>
          </w:tcPr>
          <w:p w14:paraId="13ECD9AB">
            <w:pPr>
              <w:widowControl/>
              <w:jc w:val="center"/>
              <w:textAlignment w:val="center"/>
              <w:rPr>
                <w:rFonts w:ascii="Times New Roman Regular" w:hAnsi="Times New Roman Regular" w:eastAsia="FangSong" w:cs="Times New Roman Regular"/>
                <w:kern w:val="0"/>
                <w:sz w:val="18"/>
                <w:szCs w:val="18"/>
              </w:rPr>
            </w:pPr>
            <w:r>
              <w:rPr>
                <w:rFonts w:ascii="Times New Roman Regular" w:hAnsi="Times New Roman Regular" w:eastAsia="FangSong" w:cs="Times New Roman Regular"/>
                <w:kern w:val="0"/>
                <w:sz w:val="18"/>
                <w:szCs w:val="18"/>
              </w:rPr>
              <w:t>2,432.60</w:t>
            </w:r>
          </w:p>
        </w:tc>
        <w:tc>
          <w:tcPr>
            <w:tcW w:w="606" w:type="pct"/>
            <w:shd w:val="clear" w:color="auto" w:fill="FFFFFF"/>
            <w:vAlign w:val="center"/>
          </w:tcPr>
          <w:p w14:paraId="2E7FD498">
            <w:pPr>
              <w:widowControl/>
              <w:jc w:val="center"/>
              <w:textAlignment w:val="center"/>
              <w:rPr>
                <w:rFonts w:hint="eastAsia" w:ascii="Times New Roman Regular" w:hAnsi="Times New Roman Regular" w:eastAsia="FangSong" w:cs="Times New Roman Regular"/>
                <w:kern w:val="0"/>
                <w:sz w:val="18"/>
                <w:szCs w:val="18"/>
                <w:lang w:eastAsia="zh-CN"/>
              </w:rPr>
            </w:pPr>
            <w:r>
              <w:rPr>
                <w:rFonts w:hint="eastAsia" w:ascii="Times New Roman Regular" w:hAnsi="Times New Roman Regular" w:eastAsia="FangSong" w:cs="Times New Roman Regular"/>
                <w:kern w:val="0"/>
                <w:sz w:val="18"/>
                <w:szCs w:val="18"/>
                <w:lang w:eastAsia="zh-CN"/>
              </w:rPr>
              <w:t>846.94</w:t>
            </w:r>
          </w:p>
        </w:tc>
        <w:tc>
          <w:tcPr>
            <w:tcW w:w="606" w:type="pct"/>
            <w:shd w:val="clear" w:color="auto" w:fill="FFFFFF"/>
            <w:vAlign w:val="center"/>
          </w:tcPr>
          <w:p w14:paraId="04F3AC88">
            <w:pPr>
              <w:widowControl/>
              <w:jc w:val="center"/>
              <w:textAlignment w:val="center"/>
              <w:rPr>
                <w:rFonts w:hint="eastAsia" w:ascii="Times New Roman Regular" w:hAnsi="Times New Roman Regular" w:eastAsia="FangSong" w:cs="Times New Roman Regular"/>
                <w:kern w:val="0"/>
                <w:sz w:val="18"/>
                <w:szCs w:val="18"/>
                <w:lang w:eastAsia="zh-CN"/>
              </w:rPr>
            </w:pPr>
            <w:r>
              <w:rPr>
                <w:rFonts w:hint="eastAsia" w:ascii="Times New Roman Regular" w:hAnsi="Times New Roman Regular" w:eastAsia="FangSong" w:cs="Times New Roman Regular"/>
                <w:kern w:val="0"/>
                <w:sz w:val="18"/>
                <w:szCs w:val="18"/>
                <w:lang w:eastAsia="zh-CN"/>
              </w:rPr>
              <w:t>3,279.54</w:t>
            </w:r>
          </w:p>
        </w:tc>
        <w:tc>
          <w:tcPr>
            <w:tcW w:w="830" w:type="pct"/>
            <w:shd w:val="clear" w:color="auto" w:fill="FFFFFF"/>
            <w:vAlign w:val="center"/>
          </w:tcPr>
          <w:p w14:paraId="1847635D">
            <w:pPr>
              <w:jc w:val="left"/>
              <w:rPr>
                <w:rFonts w:hint="eastAsia" w:ascii="仿宋_GB2312" w:hAnsi="SimSun" w:eastAsia="仿宋_GB2312" w:cs="SimSun"/>
                <w:b/>
                <w:bCs/>
                <w:kern w:val="0"/>
                <w:sz w:val="18"/>
                <w:szCs w:val="18"/>
                <w:lang w:val="en-US" w:eastAsia="zh-CN"/>
              </w:rPr>
            </w:pPr>
            <w:r>
              <w:rPr>
                <w:rFonts w:hint="eastAsia" w:ascii="仿宋_GB2312" w:hAnsi="SimSun" w:eastAsia="仿宋_GB2312" w:cs="SimSun"/>
                <w:b/>
                <w:bCs/>
                <w:kern w:val="0"/>
                <w:sz w:val="18"/>
                <w:szCs w:val="18"/>
                <w:lang w:val="en-US" w:eastAsia="zh-CN"/>
              </w:rPr>
              <w:t>第一顺位抵押物：</w:t>
            </w:r>
          </w:p>
          <w:p w14:paraId="68FBE75A">
            <w:pPr>
              <w:jc w:val="left"/>
              <w:rPr>
                <w:rFonts w:ascii="仿宋_GB2312" w:hAnsi="SimSun" w:eastAsia="仿宋_GB2312" w:cs="SimSun"/>
                <w:kern w:val="0"/>
                <w:sz w:val="18"/>
                <w:szCs w:val="18"/>
              </w:rPr>
            </w:pPr>
            <w:r>
              <w:rPr>
                <w:rFonts w:ascii="仿宋_GB2312" w:hAnsi="SimSun" w:eastAsia="仿宋_GB2312" w:cs="SimSun"/>
                <w:kern w:val="0"/>
                <w:sz w:val="18"/>
                <w:szCs w:val="18"/>
              </w:rPr>
              <w:t>1.广州白云</w:t>
            </w:r>
            <w:bookmarkStart w:id="1" w:name="_GoBack"/>
            <w:bookmarkEnd w:id="1"/>
            <w:r>
              <w:rPr>
                <w:rFonts w:ascii="仿宋_GB2312" w:hAnsi="SimSun" w:eastAsia="仿宋_GB2312" w:cs="SimSun"/>
                <w:kern w:val="0"/>
                <w:sz w:val="18"/>
                <w:szCs w:val="18"/>
              </w:rPr>
              <w:t>区黄石西路599号共7层写字楼，面积合计5361.08m²;</w:t>
            </w:r>
          </w:p>
          <w:p w14:paraId="0442A74A">
            <w:pPr>
              <w:jc w:val="left"/>
              <w:rPr>
                <w:rFonts w:ascii="仿宋_GB2312" w:hAnsi="SimSun" w:eastAsia="仿宋_GB2312" w:cs="SimSun"/>
                <w:kern w:val="0"/>
                <w:sz w:val="18"/>
                <w:szCs w:val="18"/>
              </w:rPr>
            </w:pPr>
            <w:r>
              <w:rPr>
                <w:rFonts w:ascii="仿宋_GB2312" w:hAnsi="SimSun" w:eastAsia="仿宋_GB2312" w:cs="SimSun"/>
                <w:kern w:val="0"/>
                <w:sz w:val="18"/>
                <w:szCs w:val="18"/>
              </w:rPr>
              <w:t xml:space="preserve">2.广州市白云区齐富路338号首层面积为940.76m²的商铺; </w:t>
            </w:r>
          </w:p>
          <w:p w14:paraId="4DACA8D3">
            <w:pPr>
              <w:jc w:val="left"/>
              <w:rPr>
                <w:rFonts w:ascii="仿宋_GB2312" w:hAnsi="SimSun" w:eastAsia="仿宋_GB2312" w:cs="SimSun"/>
                <w:kern w:val="0"/>
                <w:sz w:val="18"/>
                <w:szCs w:val="18"/>
              </w:rPr>
            </w:pPr>
            <w:r>
              <w:rPr>
                <w:rFonts w:ascii="仿宋_GB2312" w:hAnsi="SimSun" w:eastAsia="仿宋_GB2312" w:cs="SimSun"/>
                <w:kern w:val="0"/>
                <w:sz w:val="18"/>
                <w:szCs w:val="18"/>
              </w:rPr>
              <w:t>3.广州市花都区元邦山清水秀二期项目别墅14套，面积合计4225.29m²</w:t>
            </w:r>
          </w:p>
        </w:tc>
        <w:tc>
          <w:tcPr>
            <w:tcW w:w="731" w:type="pct"/>
            <w:shd w:val="clear" w:color="auto" w:fill="FFFFFF"/>
            <w:vAlign w:val="center"/>
          </w:tcPr>
          <w:p w14:paraId="3762BF0D">
            <w:pPr>
              <w:jc w:val="center"/>
              <w:rPr>
                <w:rFonts w:ascii="仿宋_GB2312" w:hAnsi="SimSun" w:eastAsia="仿宋_GB2312" w:cs="SimSun"/>
                <w:kern w:val="0"/>
                <w:sz w:val="18"/>
                <w:szCs w:val="18"/>
              </w:rPr>
            </w:pPr>
            <w:r>
              <w:rPr>
                <w:rFonts w:ascii="仿宋_GB2312" w:hAnsi="SimSun" w:eastAsia="仿宋_GB2312" w:cs="SimSun"/>
                <w:kern w:val="0"/>
                <w:sz w:val="18"/>
                <w:szCs w:val="18"/>
              </w:rPr>
              <w:t>广州元邦房地产开发有限公司、陈建锋、林叶菊</w:t>
            </w:r>
          </w:p>
        </w:tc>
        <w:tc>
          <w:tcPr>
            <w:tcW w:w="632" w:type="pct"/>
            <w:shd w:val="clear" w:color="auto" w:fill="FFFFFF"/>
            <w:vAlign w:val="center"/>
          </w:tcPr>
          <w:p w14:paraId="37B9817B">
            <w:pPr>
              <w:jc w:val="center"/>
              <w:rPr>
                <w:rFonts w:ascii="仿宋_GB2312" w:hAnsi="SimSun" w:eastAsia="仿宋_GB2312" w:cs="SimSun"/>
                <w:kern w:val="0"/>
                <w:sz w:val="18"/>
                <w:szCs w:val="18"/>
              </w:rPr>
            </w:pPr>
            <w:r>
              <w:rPr>
                <w:rFonts w:hint="eastAsia" w:ascii="仿宋_GB2312" w:hAnsi="SimSun" w:eastAsia="仿宋_GB2312" w:cs="SimSun"/>
                <w:kern w:val="0"/>
                <w:sz w:val="18"/>
                <w:szCs w:val="18"/>
              </w:rPr>
              <w:t>一审未判决</w:t>
            </w:r>
          </w:p>
        </w:tc>
      </w:tr>
      <w:tr w14:paraId="3F418C39">
        <w:trPr>
          <w:trHeight w:val="324" w:hRule="atLeast"/>
          <w:jc w:val="center"/>
        </w:trPr>
        <w:tc>
          <w:tcPr>
            <w:tcW w:w="1040" w:type="pct"/>
            <w:gridSpan w:val="2"/>
            <w:shd w:val="clear" w:color="auto" w:fill="FFFFFF"/>
            <w:vAlign w:val="center"/>
          </w:tcPr>
          <w:p w14:paraId="1D36BC0F">
            <w:pPr>
              <w:jc w:val="center"/>
              <w:rPr>
                <w:rFonts w:ascii="Times New Roman" w:hAnsi="Times New Roman" w:eastAsia="仿宋_GB2312" w:cs="Times New Roman"/>
                <w:b/>
                <w:bCs/>
                <w:sz w:val="18"/>
                <w:szCs w:val="18"/>
              </w:rPr>
            </w:pPr>
            <w:r>
              <w:rPr>
                <w:rFonts w:hint="eastAsia" w:ascii="Times New Roman" w:hAnsi="Times New Roman" w:eastAsia="仿宋_GB2312" w:cs="Times New Roman"/>
                <w:b/>
                <w:bCs/>
                <w:sz w:val="18"/>
                <w:szCs w:val="18"/>
              </w:rPr>
              <w:t>合计</w:t>
            </w:r>
          </w:p>
        </w:tc>
        <w:tc>
          <w:tcPr>
            <w:tcW w:w="551" w:type="pct"/>
            <w:shd w:val="clear" w:color="auto" w:fill="auto"/>
            <w:vAlign w:val="center"/>
          </w:tcPr>
          <w:p w14:paraId="6155CDF9">
            <w:pPr>
              <w:widowControl/>
              <w:jc w:val="center"/>
              <w:textAlignment w:val="center"/>
              <w:rPr>
                <w:rFonts w:hint="default" w:ascii="Times New Roman Bold" w:hAnsi="Times New Roman Bold" w:eastAsia="FangSong" w:cs="Times New Roman Bold"/>
                <w:b/>
                <w:bCs/>
                <w:kern w:val="0"/>
                <w:sz w:val="18"/>
                <w:szCs w:val="18"/>
                <w:lang w:eastAsia="zh-CN"/>
              </w:rPr>
            </w:pPr>
            <w:r>
              <w:rPr>
                <w:rFonts w:hint="default" w:ascii="Times New Roman Bold" w:hAnsi="Times New Roman Bold" w:eastAsia="FangSong" w:cs="Times New Roman Bold"/>
                <w:b/>
                <w:bCs/>
                <w:kern w:val="0"/>
                <w:sz w:val="18"/>
                <w:szCs w:val="18"/>
                <w:lang w:eastAsia="zh-CN"/>
              </w:rPr>
              <w:t>20,632.60</w:t>
            </w:r>
          </w:p>
        </w:tc>
        <w:tc>
          <w:tcPr>
            <w:tcW w:w="606" w:type="pct"/>
            <w:shd w:val="clear" w:color="auto" w:fill="FFFFFF"/>
            <w:vAlign w:val="center"/>
          </w:tcPr>
          <w:p w14:paraId="782E4D9A">
            <w:pPr>
              <w:widowControl/>
              <w:jc w:val="center"/>
              <w:textAlignment w:val="center"/>
              <w:rPr>
                <w:rFonts w:hint="default" w:ascii="Times New Roman Bold" w:hAnsi="Times New Roman Bold" w:eastAsia="FangSong" w:cs="Times New Roman Bold"/>
                <w:b/>
                <w:bCs/>
                <w:kern w:val="0"/>
                <w:sz w:val="18"/>
                <w:szCs w:val="18"/>
                <w:lang w:eastAsia="zh-CN"/>
              </w:rPr>
            </w:pPr>
            <w:r>
              <w:rPr>
                <w:rFonts w:hint="default" w:ascii="Times New Roman Bold" w:hAnsi="Times New Roman Bold" w:eastAsia="FangSong" w:cs="Times New Roman Bold"/>
                <w:b/>
                <w:bCs/>
                <w:kern w:val="0"/>
                <w:sz w:val="18"/>
                <w:szCs w:val="18"/>
                <w:lang w:eastAsia="zh-CN"/>
              </w:rPr>
              <w:t>13,272.20</w:t>
            </w:r>
          </w:p>
        </w:tc>
        <w:tc>
          <w:tcPr>
            <w:tcW w:w="606" w:type="pct"/>
            <w:shd w:val="clear" w:color="auto" w:fill="FFFFFF"/>
            <w:vAlign w:val="center"/>
          </w:tcPr>
          <w:p w14:paraId="5D7B063D">
            <w:pPr>
              <w:widowControl/>
              <w:jc w:val="center"/>
              <w:textAlignment w:val="center"/>
              <w:rPr>
                <w:rFonts w:hint="default" w:ascii="Times New Roman Bold" w:hAnsi="Times New Roman Bold" w:eastAsia="FangSong" w:cs="Times New Roman Bold"/>
                <w:b/>
                <w:bCs/>
                <w:kern w:val="0"/>
                <w:sz w:val="18"/>
                <w:szCs w:val="18"/>
                <w:lang w:eastAsia="zh-CN"/>
              </w:rPr>
            </w:pPr>
            <w:r>
              <w:rPr>
                <w:rFonts w:hint="default" w:ascii="Times New Roman Bold" w:hAnsi="Times New Roman Bold" w:eastAsia="FangSong" w:cs="Times New Roman Bold"/>
                <w:b/>
                <w:bCs/>
                <w:kern w:val="0"/>
                <w:sz w:val="18"/>
                <w:szCs w:val="18"/>
                <w:lang w:eastAsia="zh-CN"/>
              </w:rPr>
              <w:t>33,904.80</w:t>
            </w:r>
          </w:p>
        </w:tc>
        <w:tc>
          <w:tcPr>
            <w:tcW w:w="2193" w:type="pct"/>
            <w:gridSpan w:val="3"/>
            <w:shd w:val="clear" w:color="auto" w:fill="FFFFFF"/>
            <w:vAlign w:val="center"/>
          </w:tcPr>
          <w:p w14:paraId="6A0D6259">
            <w:pPr>
              <w:jc w:val="center"/>
              <w:rPr>
                <w:rFonts w:ascii="仿宋_GB2312" w:hAnsi="SimSun" w:eastAsia="仿宋_GB2312" w:cs="SimSun"/>
                <w:b/>
                <w:bCs/>
                <w:kern w:val="0"/>
                <w:sz w:val="18"/>
                <w:szCs w:val="18"/>
              </w:rPr>
            </w:pPr>
          </w:p>
        </w:tc>
      </w:tr>
    </w:tbl>
    <w:p w14:paraId="362DD027">
      <w:pPr>
        <w:spacing w:line="360" w:lineRule="auto"/>
        <w:ind w:firstLine="560" w:firstLineChars="200"/>
        <w:rPr>
          <w:rFonts w:hint="eastAsia" w:ascii="仿宋" w:hAnsi="仿宋" w:eastAsia="仿宋"/>
          <w:sz w:val="28"/>
          <w:szCs w:val="24"/>
        </w:rPr>
      </w:pPr>
    </w:p>
    <w:p w14:paraId="059793A6">
      <w:pPr>
        <w:rPr>
          <w:rFonts w:hint="eastAsia" w:ascii="SimHei" w:hAnsi="SimHei" w:eastAsia="SimHei"/>
          <w:sz w:val="32"/>
          <w:szCs w:val="32"/>
        </w:rPr>
      </w:pPr>
      <w:r>
        <w:rPr>
          <w:rFonts w:hint="eastAsia" w:ascii="SimHei" w:hAnsi="SimHei" w:eastAsia="SimHei"/>
          <w:sz w:val="32"/>
          <w:szCs w:val="32"/>
        </w:rPr>
        <w:t>二、资产介绍</w:t>
      </w:r>
    </w:p>
    <w:p w14:paraId="1A6F7864">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lang w:val="en-US" w:eastAsia="zh-CN"/>
        </w:rPr>
        <w:t>（1）</w:t>
      </w:r>
      <w:r>
        <w:rPr>
          <w:rFonts w:hint="eastAsia" w:ascii="Times New Roman" w:hAnsi="Times New Roman" w:eastAsia="仿宋_GB2312" w:cs="仿宋_GB2312"/>
          <w:color w:val="000000"/>
          <w:sz w:val="28"/>
          <w:szCs w:val="28"/>
          <w:highlight w:val="none"/>
        </w:rPr>
        <w:t>位于广州市花都区芙蓉镇新杨村的住宅用地，面积为32,920.86㎡</w:t>
      </w: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lang w:val="en-US" w:eastAsia="zh-CN"/>
        </w:rPr>
        <w:t>地块</w:t>
      </w:r>
      <w:r>
        <w:rPr>
          <w:rFonts w:hint="eastAsia" w:ascii="Times New Roman" w:hAnsi="Times New Roman" w:eastAsia="仿宋_GB2312" w:cs="仿宋_GB2312"/>
          <w:color w:val="000000"/>
          <w:sz w:val="28"/>
          <w:szCs w:val="28"/>
          <w:highlight w:val="none"/>
        </w:rPr>
        <w:t>距离G94珠三角环线高速“芙蓉站”或G0421许广高速“海布站”高速路口均约10分钟车程，距离广州北站12公里，距离花都区市中心约10公里。抵押物土地大部分已平整，地块范围内有一幢4层楼高办公楼，一幢4层楼高宿舍，4个钢结构一层简易厂房和</w:t>
      </w:r>
      <w:r>
        <w:rPr>
          <w:rFonts w:hint="eastAsia" w:ascii="Times New Roman" w:hAnsi="Times New Roman" w:eastAsia="仿宋_GB2312" w:cs="仿宋_GB2312"/>
          <w:color w:val="000000"/>
          <w:sz w:val="28"/>
          <w:szCs w:val="28"/>
          <w:highlight w:val="none"/>
          <w:lang w:val="en-US" w:eastAsia="zh-CN"/>
        </w:rPr>
        <w:t>部分</w:t>
      </w:r>
      <w:r>
        <w:rPr>
          <w:rFonts w:hint="eastAsia" w:ascii="Times New Roman" w:hAnsi="Times New Roman" w:eastAsia="仿宋_GB2312" w:cs="仿宋_GB2312"/>
          <w:color w:val="000000"/>
          <w:sz w:val="28"/>
          <w:szCs w:val="28"/>
          <w:highlight w:val="none"/>
        </w:rPr>
        <w:t>空地。</w:t>
      </w:r>
    </w:p>
    <w:p w14:paraId="2E9077FD">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抵押物5公里范围住宅小区包括有班芙小镇、时代紫林、元邦山清水秀、远洋芙蓉墅、南航碧花园、新鸿基御花华园等住宅楼盘，相关生活配套有新民小学、新扬小学、芙蓉中学、秀全中学、广州工商学院、狮岭皮革城、狮城国际、广州融创文旅城、比奇（广州）军事主题园等。</w:t>
      </w:r>
    </w:p>
    <w:p w14:paraId="3E3BB40B">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抵押物地理位置优越，属洪秀全水库范围，环境较好，交通便捷，生活配套完善，周边5公里范围内小区众多，未来开发潜力较大。</w:t>
      </w:r>
    </w:p>
    <w:p w14:paraId="6C1F6BCA">
      <w:pPr>
        <w:pStyle w:val="10"/>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位于广州花都区元邦山清水秀项目地下车位10个</w:t>
      </w: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rPr>
        <w:t xml:space="preserve">        </w:t>
      </w:r>
    </w:p>
    <w:p w14:paraId="5FE776A6">
      <w:pPr>
        <w:pStyle w:val="10"/>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eastAsia="zh-CN"/>
        </w:rPr>
      </w:pPr>
      <w:r>
        <w:rPr>
          <w:rFonts w:hint="eastAsia" w:ascii="Times New Roman" w:hAnsi="Times New Roman" w:eastAsia="仿宋_GB2312" w:cs="仿宋_GB2312"/>
          <w:color w:val="000000"/>
          <w:sz w:val="28"/>
          <w:szCs w:val="28"/>
          <w:highlight w:val="none"/>
          <w:lang w:eastAsia="zh-CN"/>
        </w:rPr>
        <w:t>元邦大厦写字楼2-8层，位于广州白云区黄石西路599号，面积合计5,361.08㎡。目前2-8层已出租作为怡呈酒店运营，酒店于2025年3月开业，内部装修现代化。该位置对于商务旅客的出行较为方便，距离广州白云国际会议中心约6公里、距离广州白云站4.8公里，距离广州白云国际机场24公里。</w:t>
      </w:r>
    </w:p>
    <w:p w14:paraId="35AAD2FC">
      <w:pPr>
        <w:pStyle w:val="10"/>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eastAsia="zh-CN"/>
        </w:rPr>
      </w:pPr>
      <w:r>
        <w:rPr>
          <w:rFonts w:hint="eastAsia" w:ascii="Times New Roman" w:hAnsi="Times New Roman" w:eastAsia="仿宋_GB2312" w:cs="仿宋_GB2312"/>
          <w:color w:val="000000"/>
          <w:sz w:val="28"/>
          <w:szCs w:val="28"/>
          <w:highlight w:val="none"/>
          <w:lang w:val="en-US" w:eastAsia="zh-CN"/>
        </w:rPr>
        <w:t>位于</w:t>
      </w:r>
      <w:r>
        <w:rPr>
          <w:rFonts w:hint="eastAsia" w:ascii="Times New Roman" w:hAnsi="Times New Roman" w:eastAsia="仿宋_GB2312" w:cs="仿宋_GB2312"/>
          <w:color w:val="000000"/>
          <w:sz w:val="28"/>
          <w:szCs w:val="28"/>
          <w:highlight w:val="none"/>
        </w:rPr>
        <w:t>广州市花都区元邦山清水秀二期项目别墅1</w:t>
      </w:r>
      <w:r>
        <w:rPr>
          <w:rFonts w:hint="eastAsia" w:ascii="Times New Roman" w:hAnsi="Times New Roman" w:eastAsia="仿宋_GB2312" w:cs="仿宋_GB2312"/>
          <w:color w:val="000000"/>
          <w:sz w:val="28"/>
          <w:szCs w:val="28"/>
          <w:highlight w:val="none"/>
          <w:lang w:val="en-US" w:eastAsia="zh-CN"/>
        </w:rPr>
        <w:t>4</w:t>
      </w:r>
      <w:r>
        <w:rPr>
          <w:rFonts w:hint="eastAsia" w:ascii="Times New Roman" w:hAnsi="Times New Roman" w:eastAsia="仿宋_GB2312" w:cs="仿宋_GB2312"/>
          <w:color w:val="000000"/>
          <w:sz w:val="28"/>
          <w:szCs w:val="28"/>
          <w:highlight w:val="none"/>
        </w:rPr>
        <w:t>套，面积合计4225.29㎡</w:t>
      </w:r>
      <w:r>
        <w:rPr>
          <w:rFonts w:hint="eastAsia" w:ascii="Times New Roman" w:hAnsi="Times New Roman" w:eastAsia="仿宋_GB2312" w:cs="仿宋_GB2312"/>
          <w:color w:val="000000"/>
          <w:sz w:val="28"/>
          <w:szCs w:val="28"/>
          <w:highlight w:val="none"/>
          <w:lang w:eastAsia="zh-CN"/>
        </w:rPr>
        <w:t>。</w:t>
      </w:r>
    </w:p>
    <w:p w14:paraId="636E1E95">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rPr>
        <w:t>元邦山清水秀</w:t>
      </w:r>
      <w:r>
        <w:rPr>
          <w:rFonts w:hint="eastAsia" w:ascii="Times New Roman" w:hAnsi="Times New Roman" w:eastAsia="仿宋_GB2312" w:cs="仿宋_GB2312"/>
          <w:color w:val="000000"/>
          <w:sz w:val="28"/>
          <w:szCs w:val="28"/>
          <w:highlight w:val="none"/>
          <w:lang w:val="en-US" w:eastAsia="zh-CN"/>
        </w:rPr>
        <w:t>小区距珠三角环线高速芙蓉嶂出口仅5分钟车程，属著名的旅游胜地芙蓉渡假村外围小象山区内，项目用地南侧紧靠山前旅游大道，北侧为小象山，距芙蓉渡假村西门约2公里。</w:t>
      </w:r>
    </w:p>
    <w:p w14:paraId="543BDDFB">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元邦山清水秀二期内部配备有博博熊幼儿园，周边2公里以内有新扬小学、狮岭镇卫生院、东福百货广场、新又新购物广场等学校、医疗、商业配套，周边配套较为完善。</w:t>
      </w:r>
    </w:p>
    <w:p w14:paraId="312CD6E8">
      <w:pPr>
        <w:pStyle w:val="10"/>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360" w:lineRule="atLeast"/>
        <w:ind w:left="0" w:leftChars="0" w:firstLine="560" w:firstLineChars="200"/>
        <w:jc w:val="both"/>
        <w:textAlignment w:val="auto"/>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val="en-US" w:eastAsia="zh-CN"/>
        </w:rPr>
        <w:t>位于广州市白云区齐富路338号首层，面积为940.76㎡的商铺，该商铺为元邦苑小区一层临街商业，现状为烟酒及餐饮个体户经营。</w:t>
      </w:r>
    </w:p>
    <w:p w14:paraId="65623AA9">
      <w:pPr>
        <w:rPr>
          <w:rFonts w:ascii="仿宋" w:hAnsi="仿宋" w:eastAsia="仿宋" w:cs="Times New Roman"/>
          <w:bCs/>
          <w:kern w:val="0"/>
          <w:sz w:val="28"/>
          <w:szCs w:val="32"/>
        </w:rPr>
      </w:pPr>
    </w:p>
    <w:p w14:paraId="4EF295C0">
      <w:pPr>
        <w:pStyle w:val="10"/>
        <w:widowControl/>
        <w:spacing w:line="360" w:lineRule="atLeast"/>
        <w:ind w:firstLine="0" w:firstLineChars="0"/>
        <w:rPr>
          <w:rFonts w:hint="eastAsia" w:ascii="仿宋_GB2312" w:hAnsi="仿宋" w:eastAsia="仿宋_GB2312" w:cs="仿宋"/>
          <w:color w:val="000000"/>
          <w:sz w:val="28"/>
          <w:szCs w:val="28"/>
          <w:highlight w:val="none"/>
          <w:lang w:val="en-US" w:eastAsia="zh-CN"/>
        </w:rPr>
      </w:pPr>
      <w:r>
        <w:rPr>
          <w:rFonts w:hint="eastAsia" w:ascii="SimHei" w:hAnsi="SimHei" w:eastAsia="SimHei" w:cstheme="minorBidi"/>
          <w:sz w:val="32"/>
          <w:szCs w:val="32"/>
        </w:rPr>
        <w:t>三、周边照片</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3"/>
        <w:gridCol w:w="433"/>
        <w:gridCol w:w="3622"/>
      </w:tblGrid>
      <w:tr w14:paraId="685E1E56">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47F29CED">
            <w:pPr>
              <w:pStyle w:val="10"/>
              <w:widowControl/>
              <w:spacing w:beforeAutospacing="0" w:afterAutospacing="0" w:line="360" w:lineRule="atLeast"/>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w:t>
            </w:r>
            <w:r>
              <w:rPr>
                <w:rFonts w:hint="eastAsia" w:ascii="仿宋_GB2312" w:hAnsi="仿宋" w:eastAsia="仿宋_GB2312" w:cs="仿宋"/>
                <w:b/>
                <w:bCs/>
                <w:color w:val="000000"/>
                <w:sz w:val="28"/>
                <w:szCs w:val="28"/>
                <w:lang w:val="en-US" w:eastAsia="zh-CN"/>
              </w:rPr>
              <w:t>1</w:t>
            </w:r>
            <w:r>
              <w:rPr>
                <w:rFonts w:hint="eastAsia" w:ascii="仿宋_GB2312" w:hAnsi="仿宋" w:eastAsia="仿宋_GB2312" w:cs="仿宋"/>
                <w:b/>
                <w:bCs/>
                <w:color w:val="000000"/>
                <w:sz w:val="28"/>
                <w:szCs w:val="28"/>
              </w:rPr>
              <w:t>）</w:t>
            </w:r>
            <w:r>
              <w:rPr>
                <w:rFonts w:hint="eastAsia" w:ascii="仿宋_GB2312" w:hAnsi="仿宋" w:eastAsia="仿宋_GB2312" w:cs="仿宋"/>
                <w:b/>
                <w:bCs/>
                <w:color w:val="000000"/>
                <w:sz w:val="28"/>
                <w:szCs w:val="28"/>
                <w:lang w:val="en-US" w:eastAsia="zh-CN"/>
              </w:rPr>
              <w:t>花都区芙蓉镇新杨村的住宅用地</w:t>
            </w:r>
          </w:p>
        </w:tc>
      </w:tr>
      <w:tr w14:paraId="0306135F">
        <w:trPr>
          <w:trHeight w:val="5112"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70ADC98E">
            <w:pPr>
              <w:jc w:val="center"/>
              <w:rPr>
                <w:rFonts w:hint="eastAsia" w:ascii="仿宋" w:hAnsi="仿宋" w:eastAsia="仿宋" w:cs="Times New Roman"/>
                <w:kern w:val="0"/>
                <w:sz w:val="28"/>
                <w:szCs w:val="32"/>
                <w:lang w:eastAsia="zh-CN"/>
              </w:rPr>
            </w:pPr>
            <w:r>
              <w:rPr>
                <w:rFonts w:ascii="仿宋" w:hAnsi="仿宋" w:eastAsia="仿宋"/>
                <w:color w:val="FF0000"/>
                <w:sz w:val="32"/>
                <w:szCs w:val="32"/>
              </w:rPr>
              <w:drawing>
                <wp:inline distT="0" distB="0" distL="0" distR="0">
                  <wp:extent cx="4427855" cy="3070860"/>
                  <wp:effectExtent l="0" t="0" r="17145" b="25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 cstate="print"/>
                          <a:srcRect/>
                          <a:stretch>
                            <a:fillRect/>
                          </a:stretch>
                        </pic:blipFill>
                        <pic:spPr>
                          <a:xfrm>
                            <a:off x="0" y="0"/>
                            <a:ext cx="4427855" cy="3070860"/>
                          </a:xfrm>
                          <a:prstGeom prst="rect">
                            <a:avLst/>
                          </a:prstGeom>
                          <a:noFill/>
                          <a:ln w="9525">
                            <a:noFill/>
                            <a:miter lim="800000"/>
                            <a:headEnd/>
                            <a:tailEnd/>
                          </a:ln>
                        </pic:spPr>
                      </pic:pic>
                    </a:graphicData>
                  </a:graphic>
                </wp:inline>
              </w:drawing>
            </w:r>
          </w:p>
          <w:p w14:paraId="513EF6C6">
            <w:pPr>
              <w:jc w:val="center"/>
              <w:rPr>
                <w:rFonts w:hint="default" w:ascii="仿宋" w:hAnsi="仿宋" w:eastAsia="仿宋" w:cs="仿宋"/>
                <w:b/>
                <w:sz w:val="28"/>
                <w:szCs w:val="28"/>
                <w:lang w:val="en-US" w:eastAsia="zh-CN"/>
              </w:rPr>
            </w:pPr>
            <w:r>
              <w:rPr>
                <w:rFonts w:hint="eastAsia" w:ascii="仿宋" w:hAnsi="仿宋" w:eastAsia="仿宋" w:cs="仿宋"/>
                <w:b w:val="0"/>
                <w:bCs/>
                <w:sz w:val="28"/>
                <w:szCs w:val="28"/>
                <w:lang w:val="en-US" w:eastAsia="zh-CN"/>
              </w:rPr>
              <w:t>地块所处位置示意图</w:t>
            </w:r>
          </w:p>
        </w:tc>
      </w:tr>
      <w:tr w14:paraId="002F7FD0">
        <w:trPr>
          <w:trHeight w:val="5112"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24DBCD42">
            <w:pPr>
              <w:jc w:val="center"/>
              <w:rPr>
                <w:rFonts w:hint="eastAsia" w:ascii="仿宋" w:hAnsi="仿宋" w:eastAsia="仿宋" w:cs="仿宋"/>
                <w:b w:val="0"/>
                <w:bCs/>
                <w:sz w:val="28"/>
                <w:szCs w:val="28"/>
                <w:lang w:val="en-US" w:eastAsia="zh-CN"/>
              </w:rPr>
            </w:pPr>
            <w:r>
              <w:drawing>
                <wp:inline distT="0" distB="0" distL="114300" distR="114300">
                  <wp:extent cx="4891405" cy="3205480"/>
                  <wp:effectExtent l="0" t="0" r="10795" b="20320"/>
                  <wp:docPr id="3" name="Picture 3" descr="花都地块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花都地块示意图"/>
                          <pic:cNvPicPr>
                            <a:picLocks noChangeAspect="1"/>
                          </pic:cNvPicPr>
                        </pic:nvPicPr>
                        <pic:blipFill>
                          <a:blip r:embed="rId5"/>
                          <a:stretch>
                            <a:fillRect/>
                          </a:stretch>
                        </pic:blipFill>
                        <pic:spPr>
                          <a:xfrm>
                            <a:off x="0" y="0"/>
                            <a:ext cx="4891405" cy="3205480"/>
                          </a:xfrm>
                          <a:prstGeom prst="rect">
                            <a:avLst/>
                          </a:prstGeom>
                        </pic:spPr>
                      </pic:pic>
                    </a:graphicData>
                  </a:graphic>
                </wp:inline>
              </w:drawing>
            </w:r>
          </w:p>
        </w:tc>
      </w:tr>
      <w:tr w14:paraId="7391DCD3">
        <w:tc>
          <w:tcPr>
            <w:tcW w:w="2622" w:type="pct"/>
            <w:tcBorders>
              <w:top w:val="single" w:color="auto" w:sz="4" w:space="0"/>
              <w:left w:val="single" w:color="auto" w:sz="4" w:space="0"/>
              <w:bottom w:val="single" w:color="auto" w:sz="4" w:space="0"/>
              <w:right w:val="single" w:color="auto" w:sz="4" w:space="0"/>
            </w:tcBorders>
            <w:vAlign w:val="center"/>
          </w:tcPr>
          <w:p w14:paraId="5717A1E4">
            <w:pPr>
              <w:jc w:val="center"/>
              <w:rPr>
                <w:rFonts w:hint="eastAsia" w:ascii="仿宋" w:hAnsi="仿宋" w:eastAsia="仿宋" w:cs="Times New Roman"/>
                <w:kern w:val="0"/>
                <w:sz w:val="28"/>
                <w:szCs w:val="32"/>
                <w:lang w:eastAsia="zh-CN"/>
              </w:rPr>
            </w:pPr>
            <w:r>
              <w:drawing>
                <wp:inline distT="0" distB="0" distL="114300" distR="114300">
                  <wp:extent cx="2664460" cy="1998345"/>
                  <wp:effectExtent l="0" t="0" r="2540" b="8255"/>
                  <wp:docPr id="24" name="图片 24" descr="/private/var/folders/sd/3blvlp1140x8crnf_lwlbnbc0000gp/T/com.kingsoft.wpsoffice.mac/picturecompress_202404071447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rivate/var/folders/sd/3blvlp1140x8crnf_lwlbnbc0000gp/T/com.kingsoft.wpsoffice.mac/picturecompress_20240407144712/output_1.jpgoutput_1"/>
                          <pic:cNvPicPr>
                            <a:picLocks noChangeAspect="1"/>
                          </pic:cNvPicPr>
                        </pic:nvPicPr>
                        <pic:blipFill>
                          <a:blip r:embed="rId6"/>
                          <a:stretch>
                            <a:fillRect/>
                          </a:stretch>
                        </pic:blipFill>
                        <pic:spPr>
                          <a:xfrm>
                            <a:off x="0" y="0"/>
                            <a:ext cx="2664460" cy="1998345"/>
                          </a:xfrm>
                          <a:prstGeom prst="rect">
                            <a:avLst/>
                          </a:prstGeom>
                        </pic:spPr>
                      </pic:pic>
                    </a:graphicData>
                  </a:graphic>
                </wp:inline>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42672131">
            <w:pPr>
              <w:jc w:val="center"/>
            </w:pPr>
            <w:r>
              <w:drawing>
                <wp:inline distT="0" distB="0" distL="114300" distR="114300">
                  <wp:extent cx="2415540" cy="1811655"/>
                  <wp:effectExtent l="0" t="0" r="22860" b="17145"/>
                  <wp:docPr id="23" name="图片 13" descr="/private/var/folders/sd/3blvlp1140x8crnf_lwlbnbc0000gp/T/com.kingsoft.wpsoffice.mac/picturecompress_202404071446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private/var/folders/sd/3blvlp1140x8crnf_lwlbnbc0000gp/T/com.kingsoft.wpsoffice.mac/picturecompress_20240407144639/output_1.jpgoutput_1"/>
                          <pic:cNvPicPr>
                            <a:picLocks noChangeAspect="1"/>
                          </pic:cNvPicPr>
                        </pic:nvPicPr>
                        <pic:blipFill>
                          <a:blip r:embed="rId7"/>
                          <a:stretch>
                            <a:fillRect/>
                          </a:stretch>
                        </pic:blipFill>
                        <pic:spPr>
                          <a:xfrm>
                            <a:off x="0" y="0"/>
                            <a:ext cx="2415540" cy="1811655"/>
                          </a:xfrm>
                          <a:prstGeom prst="rect">
                            <a:avLst/>
                          </a:prstGeom>
                        </pic:spPr>
                      </pic:pic>
                    </a:graphicData>
                  </a:graphic>
                </wp:inline>
              </w:drawing>
            </w:r>
          </w:p>
        </w:tc>
      </w:tr>
      <w:tr w14:paraId="069FE8FD">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074A962">
            <w:pPr>
              <w:pStyle w:val="10"/>
              <w:widowControl/>
              <w:spacing w:beforeAutospacing="0" w:afterAutospacing="0" w:line="360" w:lineRule="atLeast"/>
              <w:jc w:val="both"/>
              <w:rPr>
                <w:rFonts w:hint="eastAsia" w:ascii="仿宋_GB2312" w:hAnsi="仿宋" w:eastAsia="仿宋_GB2312" w:cs="仿宋"/>
                <w:b/>
                <w:bCs/>
                <w:color w:val="000000"/>
                <w:sz w:val="28"/>
                <w:szCs w:val="28"/>
              </w:rPr>
            </w:pPr>
            <w:r>
              <w:rPr>
                <w:rFonts w:hint="eastAsia" w:ascii="仿宋_GB2312" w:hAnsi="仿宋" w:eastAsia="仿宋_GB2312" w:cs="仿宋"/>
                <w:b/>
                <w:bCs/>
                <w:color w:val="000000"/>
                <w:sz w:val="28"/>
                <w:szCs w:val="28"/>
              </w:rPr>
              <w:t>（</w:t>
            </w:r>
            <w:r>
              <w:rPr>
                <w:rFonts w:hint="eastAsia" w:ascii="仿宋_GB2312" w:hAnsi="仿宋" w:eastAsia="仿宋_GB2312" w:cs="仿宋"/>
                <w:b/>
                <w:bCs/>
                <w:color w:val="000000"/>
                <w:sz w:val="28"/>
                <w:szCs w:val="28"/>
                <w:lang w:val="en-US" w:eastAsia="zh-CN"/>
              </w:rPr>
              <w:t>2</w:t>
            </w:r>
            <w:r>
              <w:rPr>
                <w:rFonts w:hint="eastAsia" w:ascii="仿宋_GB2312" w:hAnsi="仿宋" w:eastAsia="仿宋_GB2312" w:cs="仿宋"/>
                <w:b/>
                <w:bCs/>
                <w:color w:val="000000"/>
                <w:sz w:val="28"/>
                <w:szCs w:val="28"/>
              </w:rPr>
              <w:t>）</w:t>
            </w:r>
            <w:r>
              <w:rPr>
                <w:rFonts w:hint="eastAsia" w:ascii="仿宋_GB2312" w:hAnsi="仿宋" w:eastAsia="仿宋_GB2312" w:cs="仿宋"/>
                <w:b/>
                <w:bCs/>
                <w:color w:val="000000"/>
                <w:sz w:val="28"/>
                <w:szCs w:val="28"/>
                <w:lang w:val="en-US" w:eastAsia="zh-CN"/>
              </w:rPr>
              <w:t>元邦大厦</w:t>
            </w:r>
          </w:p>
        </w:tc>
      </w:tr>
      <w:tr w14:paraId="31F8DD93">
        <w:trPr>
          <w:trHeight w:val="3507" w:hRule="atLeast"/>
        </w:trPr>
        <w:tc>
          <w:tcPr>
            <w:tcW w:w="2622" w:type="pct"/>
            <w:tcBorders>
              <w:top w:val="single" w:color="auto" w:sz="4" w:space="0"/>
              <w:left w:val="single" w:color="auto" w:sz="4" w:space="0"/>
              <w:bottom w:val="single" w:color="auto" w:sz="4" w:space="0"/>
              <w:right w:val="single" w:color="auto" w:sz="4" w:space="0"/>
            </w:tcBorders>
            <w:vAlign w:val="center"/>
          </w:tcPr>
          <w:p w14:paraId="7893B06A">
            <w:pPr>
              <w:jc w:val="center"/>
              <w:rPr>
                <w:rFonts w:hint="eastAsia" w:ascii="仿宋" w:hAnsi="仿宋" w:eastAsia="仿宋" w:cs="Times New Roman"/>
                <w:kern w:val="0"/>
                <w:sz w:val="28"/>
                <w:szCs w:val="32"/>
                <w:lang w:eastAsia="zh-CN"/>
              </w:rPr>
            </w:pPr>
            <w:r>
              <w:rPr>
                <w:rFonts w:hint="eastAsia" w:ascii="仿宋" w:hAnsi="仿宋" w:eastAsia="仿宋" w:cs="仿宋"/>
                <w:b/>
                <w:sz w:val="28"/>
                <w:szCs w:val="28"/>
              </w:rPr>
              <w:drawing>
                <wp:anchor distT="0" distB="0" distL="114300" distR="114300" simplePos="0" relativeHeight="251660288" behindDoc="0" locked="0" layoutInCell="1" allowOverlap="1">
                  <wp:simplePos x="0" y="0"/>
                  <wp:positionH relativeFrom="column">
                    <wp:posOffset>-68580</wp:posOffset>
                  </wp:positionH>
                  <wp:positionV relativeFrom="paragraph">
                    <wp:posOffset>688340</wp:posOffset>
                  </wp:positionV>
                  <wp:extent cx="3209290" cy="2456815"/>
                  <wp:effectExtent l="0" t="0" r="16510" b="6985"/>
                  <wp:wrapTopAndBottom/>
                  <wp:docPr id="2" name="图片 2" descr="Screenshot 2023-07-03 at 4.53.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 2023-07-03 at 4.53.25 PM"/>
                          <pic:cNvPicPr>
                            <a:picLocks noChangeAspect="1"/>
                          </pic:cNvPicPr>
                        </pic:nvPicPr>
                        <pic:blipFill>
                          <a:blip r:embed="rId8"/>
                          <a:stretch>
                            <a:fillRect/>
                          </a:stretch>
                        </pic:blipFill>
                        <pic:spPr>
                          <a:xfrm>
                            <a:off x="0" y="0"/>
                            <a:ext cx="3209290" cy="2456815"/>
                          </a:xfrm>
                          <a:prstGeom prst="rect">
                            <a:avLst/>
                          </a:prstGeom>
                        </pic:spPr>
                      </pic:pic>
                    </a:graphicData>
                  </a:graphic>
                </wp:anchor>
              </w:drawing>
            </w:r>
            <w:r>
              <w:rPr>
                <w:rFonts w:hint="eastAsia" w:ascii="仿宋" w:hAnsi="仿宋" w:eastAsia="仿宋" w:cs="仿宋"/>
                <w:b/>
                <w:sz w:val="28"/>
                <w:szCs w:val="28"/>
              </w:rPr>
              <w:drawing>
                <wp:anchor distT="0" distB="0" distL="114300" distR="114300" simplePos="0" relativeHeight="251659264" behindDoc="0" locked="0" layoutInCell="1" allowOverlap="1">
                  <wp:simplePos x="0" y="0"/>
                  <wp:positionH relativeFrom="column">
                    <wp:posOffset>754380</wp:posOffset>
                  </wp:positionH>
                  <wp:positionV relativeFrom="paragraph">
                    <wp:posOffset>197485</wp:posOffset>
                  </wp:positionV>
                  <wp:extent cx="3008630" cy="2303145"/>
                  <wp:effectExtent l="0" t="0" r="13970" b="8255"/>
                  <wp:wrapTopAndBottom/>
                  <wp:docPr id="11" name="图片 11" descr="Screenshot 2023-07-03 at 4.53.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 2023-07-03 at 4.53.25 PM"/>
                          <pic:cNvPicPr>
                            <a:picLocks noChangeAspect="1"/>
                          </pic:cNvPicPr>
                        </pic:nvPicPr>
                        <pic:blipFill>
                          <a:blip r:embed="rId8"/>
                          <a:stretch>
                            <a:fillRect/>
                          </a:stretch>
                        </pic:blipFill>
                        <pic:spPr>
                          <a:xfrm>
                            <a:off x="0" y="0"/>
                            <a:ext cx="3008630" cy="2303145"/>
                          </a:xfrm>
                          <a:prstGeom prst="rect">
                            <a:avLst/>
                          </a:prstGeom>
                        </pic:spPr>
                      </pic:pic>
                    </a:graphicData>
                  </a:graphic>
                </wp:anchor>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41B42E6F">
            <w:pPr>
              <w:jc w:val="center"/>
              <w:rPr>
                <w:rFonts w:hint="eastAsia" w:ascii="仿宋" w:hAnsi="仿宋" w:eastAsia="仿宋" w:cs="仿宋"/>
                <w:b/>
                <w:sz w:val="28"/>
                <w:szCs w:val="28"/>
              </w:rPr>
            </w:pPr>
            <w:r>
              <w:drawing>
                <wp:inline distT="0" distB="0" distL="114300" distR="114300">
                  <wp:extent cx="2992120" cy="2244725"/>
                  <wp:effectExtent l="0" t="0" r="15875" b="5080"/>
                  <wp:docPr id="1" name="图片 4" descr="/private/var/folders/sd/3blvlp1140x8crnf_lwlbnbc0000gp/T/com.kingsoft.wpsoffice.mac/picturecompress_20240707211148/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private/var/folders/sd/3blvlp1140x8crnf_lwlbnbc0000gp/T/com.kingsoft.wpsoffice.mac/picturecompress_20240707211148/output_2.jpgoutput_2"/>
                          <pic:cNvPicPr>
                            <a:picLocks noChangeAspect="1"/>
                          </pic:cNvPicPr>
                        </pic:nvPicPr>
                        <pic:blipFill>
                          <a:blip r:embed="rId9"/>
                          <a:stretch>
                            <a:fillRect/>
                          </a:stretch>
                        </pic:blipFill>
                        <pic:spPr>
                          <a:xfrm rot="5400000">
                            <a:off x="0" y="0"/>
                            <a:ext cx="2992120" cy="2244725"/>
                          </a:xfrm>
                          <a:prstGeom prst="rect">
                            <a:avLst/>
                          </a:prstGeom>
                        </pic:spPr>
                      </pic:pic>
                    </a:graphicData>
                  </a:graphic>
                </wp:inline>
              </w:drawing>
            </w:r>
          </w:p>
        </w:tc>
      </w:tr>
      <w:tr w14:paraId="557FFB4C">
        <w:tc>
          <w:tcPr>
            <w:tcW w:w="2622" w:type="pct"/>
            <w:tcBorders>
              <w:top w:val="single" w:color="auto" w:sz="4" w:space="0"/>
              <w:left w:val="single" w:color="auto" w:sz="4" w:space="0"/>
              <w:bottom w:val="single" w:color="auto" w:sz="4" w:space="0"/>
              <w:right w:val="single" w:color="auto" w:sz="4" w:space="0"/>
            </w:tcBorders>
            <w:vAlign w:val="center"/>
          </w:tcPr>
          <w:p w14:paraId="78FADEBF">
            <w:pPr>
              <w:jc w:val="center"/>
              <w:rPr>
                <w:rFonts w:hint="eastAsia" w:ascii="仿宋" w:hAnsi="仿宋" w:eastAsia="仿宋" w:cs="Times New Roman"/>
                <w:kern w:val="0"/>
                <w:sz w:val="28"/>
                <w:szCs w:val="32"/>
                <w:lang w:eastAsia="zh-CN"/>
              </w:rPr>
            </w:pPr>
            <w:r>
              <w:drawing>
                <wp:inline distT="0" distB="0" distL="114300" distR="114300">
                  <wp:extent cx="2529840" cy="1897380"/>
                  <wp:effectExtent l="0" t="0" r="10160" b="7620"/>
                  <wp:docPr id="10" name="图片 5" descr="/private/var/folders/sd/3blvlp1140x8crnf_lwlbnbc0000gp/T/com.kingsoft.wpsoffice.mac/picturecompress_2024070721114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private/var/folders/sd/3blvlp1140x8crnf_lwlbnbc0000gp/T/com.kingsoft.wpsoffice.mac/picturecompress_20240707211148/output_3.jpgoutput_3"/>
                          <pic:cNvPicPr>
                            <a:picLocks noChangeAspect="1"/>
                          </pic:cNvPicPr>
                        </pic:nvPicPr>
                        <pic:blipFill>
                          <a:blip r:embed="rId10"/>
                          <a:stretch>
                            <a:fillRect/>
                          </a:stretch>
                        </pic:blipFill>
                        <pic:spPr>
                          <a:xfrm>
                            <a:off x="0" y="0"/>
                            <a:ext cx="2529840" cy="1897380"/>
                          </a:xfrm>
                          <a:prstGeom prst="rect">
                            <a:avLst/>
                          </a:prstGeom>
                        </pic:spPr>
                      </pic:pic>
                    </a:graphicData>
                  </a:graphic>
                </wp:inline>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288668B0">
            <w:pPr>
              <w:jc w:val="center"/>
            </w:pPr>
            <w:r>
              <w:drawing>
                <wp:inline distT="0" distB="0" distL="114300" distR="114300">
                  <wp:extent cx="2471420" cy="1853565"/>
                  <wp:effectExtent l="0" t="0" r="17780" b="635"/>
                  <wp:docPr id="9" name="图片 2" descr="/private/var/folders/sd/3blvlp1140x8crnf_lwlbnbc0000gp/T/com.kingsoft.wpsoffice.mac/picturecompress_202407072111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private/var/folders/sd/3blvlp1140x8crnf_lwlbnbc0000gp/T/com.kingsoft.wpsoffice.mac/picturecompress_20240707211148/output_1.jpgoutput_1"/>
                          <pic:cNvPicPr>
                            <a:picLocks noChangeAspect="1"/>
                          </pic:cNvPicPr>
                        </pic:nvPicPr>
                        <pic:blipFill>
                          <a:blip r:embed="rId11"/>
                          <a:stretch>
                            <a:fillRect/>
                          </a:stretch>
                        </pic:blipFill>
                        <pic:spPr>
                          <a:xfrm>
                            <a:off x="0" y="0"/>
                            <a:ext cx="2471420" cy="1853565"/>
                          </a:xfrm>
                          <a:prstGeom prst="rect">
                            <a:avLst/>
                          </a:prstGeom>
                        </pic:spPr>
                      </pic:pic>
                    </a:graphicData>
                  </a:graphic>
                </wp:inline>
              </w:drawing>
            </w:r>
          </w:p>
        </w:tc>
      </w:tr>
      <w:tr w14:paraId="32A9D097">
        <w:tc>
          <w:tcPr>
            <w:tcW w:w="5000" w:type="pct"/>
            <w:gridSpan w:val="3"/>
            <w:tcBorders>
              <w:top w:val="single" w:color="auto" w:sz="4" w:space="0"/>
              <w:left w:val="single" w:color="auto" w:sz="4" w:space="0"/>
              <w:bottom w:val="single" w:color="auto" w:sz="4" w:space="0"/>
              <w:right w:val="single" w:color="auto" w:sz="4" w:space="0"/>
            </w:tcBorders>
            <w:vAlign w:val="center"/>
          </w:tcPr>
          <w:p w14:paraId="3238BA16">
            <w:pPr>
              <w:rPr>
                <w:rFonts w:hint="default" w:ascii="仿宋" w:hAnsi="仿宋" w:eastAsia="仿宋" w:cs="Times New Roman"/>
                <w:kern w:val="0"/>
                <w:sz w:val="28"/>
                <w:szCs w:val="32"/>
                <w:lang w:val="en-US"/>
              </w:rPr>
            </w:pPr>
            <w:r>
              <w:rPr>
                <w:rFonts w:hint="eastAsia" w:ascii="仿宋_GB2312" w:hAnsi="仿宋" w:eastAsia="仿宋_GB2312" w:cs="仿宋"/>
                <w:b/>
                <w:bCs/>
                <w:color w:val="000000"/>
                <w:sz w:val="28"/>
                <w:szCs w:val="28"/>
              </w:rPr>
              <w:t>（</w:t>
            </w:r>
            <w:r>
              <w:rPr>
                <w:rFonts w:hint="eastAsia" w:ascii="仿宋_GB2312" w:hAnsi="仿宋" w:eastAsia="仿宋_GB2312" w:cs="仿宋"/>
                <w:b/>
                <w:bCs/>
                <w:color w:val="000000"/>
                <w:sz w:val="28"/>
                <w:szCs w:val="28"/>
                <w:lang w:val="en-US" w:eastAsia="zh-CN"/>
              </w:rPr>
              <w:t>3</w:t>
            </w:r>
            <w:r>
              <w:rPr>
                <w:rFonts w:hint="eastAsia" w:ascii="仿宋_GB2312" w:hAnsi="仿宋" w:eastAsia="仿宋_GB2312" w:cs="仿宋"/>
                <w:b/>
                <w:bCs/>
                <w:color w:val="000000"/>
                <w:sz w:val="28"/>
                <w:szCs w:val="28"/>
              </w:rPr>
              <w:t>）</w:t>
            </w:r>
            <w:r>
              <w:rPr>
                <w:rFonts w:hint="eastAsia" w:ascii="仿宋_GB2312" w:hAnsi="仿宋" w:eastAsia="仿宋_GB2312" w:cs="仿宋"/>
                <w:b/>
                <w:bCs/>
                <w:color w:val="000000"/>
                <w:sz w:val="28"/>
                <w:szCs w:val="28"/>
                <w:lang w:val="en-US" w:eastAsia="zh-CN"/>
              </w:rPr>
              <w:t>元邦山清水秀二期项目别墅</w:t>
            </w:r>
          </w:p>
        </w:tc>
      </w:tr>
      <w:tr w14:paraId="32BD8A43">
        <w:tc>
          <w:tcPr>
            <w:tcW w:w="2876" w:type="pct"/>
            <w:gridSpan w:val="2"/>
            <w:tcBorders>
              <w:top w:val="single" w:color="auto" w:sz="4" w:space="0"/>
              <w:left w:val="single" w:color="auto" w:sz="4" w:space="0"/>
              <w:bottom w:val="single" w:color="auto" w:sz="4" w:space="0"/>
              <w:right w:val="single" w:color="auto" w:sz="4" w:space="0"/>
            </w:tcBorders>
            <w:vAlign w:val="center"/>
          </w:tcPr>
          <w:p w14:paraId="66DAD240">
            <w:pPr>
              <w:jc w:val="center"/>
              <w:rPr>
                <w:rFonts w:hint="default" w:ascii="仿宋" w:hAnsi="仿宋" w:cs="Times New Roman" w:eastAsiaTheme="minorEastAsia"/>
                <w:kern w:val="0"/>
                <w:sz w:val="28"/>
                <w:szCs w:val="32"/>
                <w:lang w:val="en-US" w:eastAsia="zh-CN"/>
              </w:rPr>
            </w:pPr>
            <w:r>
              <w:rPr>
                <w:rFonts w:hint="default" w:ascii="仿宋" w:hAnsi="仿宋" w:eastAsia="仿宋" w:cs="仿宋"/>
                <w:sz w:val="28"/>
                <w:szCs w:val="28"/>
                <w:lang w:val="en-US"/>
              </w:rPr>
              <w:drawing>
                <wp:anchor distT="0" distB="0" distL="114935" distR="114935" simplePos="0" relativeHeight="251661312" behindDoc="0" locked="0" layoutInCell="1" allowOverlap="1">
                  <wp:simplePos x="0" y="0"/>
                  <wp:positionH relativeFrom="column">
                    <wp:posOffset>-13335</wp:posOffset>
                  </wp:positionH>
                  <wp:positionV relativeFrom="paragraph">
                    <wp:posOffset>-4020820</wp:posOffset>
                  </wp:positionV>
                  <wp:extent cx="3308985" cy="2121535"/>
                  <wp:effectExtent l="0" t="0" r="18415" b="12065"/>
                  <wp:wrapTopAndBottom/>
                  <wp:docPr id="12" name="图片 1" descr="山清水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山清水秀"/>
                          <pic:cNvPicPr>
                            <a:picLocks noChangeAspect="1"/>
                          </pic:cNvPicPr>
                        </pic:nvPicPr>
                        <pic:blipFill>
                          <a:blip r:embed="rId12"/>
                          <a:srcRect l="1792" t="2518" r="-994" b="116"/>
                          <a:stretch>
                            <a:fillRect/>
                          </a:stretch>
                        </pic:blipFill>
                        <pic:spPr>
                          <a:xfrm>
                            <a:off x="0" y="0"/>
                            <a:ext cx="3308985" cy="2121535"/>
                          </a:xfrm>
                          <a:prstGeom prst="rect">
                            <a:avLst/>
                          </a:prstGeom>
                        </pic:spPr>
                      </pic:pic>
                    </a:graphicData>
                  </a:graphic>
                </wp:anchor>
              </w:drawing>
            </w:r>
            <w:r>
              <w:rPr>
                <w:rFonts w:hint="eastAsia" w:ascii="仿宋" w:hAnsi="仿宋" w:eastAsia="仿宋" w:cs="仿宋"/>
                <w:sz w:val="28"/>
                <w:szCs w:val="28"/>
                <w:lang w:val="en-US" w:eastAsia="zh-CN"/>
              </w:rPr>
              <w:t>小区</w:t>
            </w:r>
            <w:r>
              <w:rPr>
                <w:rFonts w:hint="eastAsia" w:ascii="仿宋" w:hAnsi="仿宋" w:eastAsia="仿宋"/>
                <w:kern w:val="0"/>
                <w:sz w:val="28"/>
                <w:szCs w:val="32"/>
              </w:rPr>
              <w:t>整体照片</w:t>
            </w:r>
          </w:p>
        </w:tc>
        <w:tc>
          <w:tcPr>
            <w:tcW w:w="2123" w:type="pct"/>
            <w:tcBorders>
              <w:top w:val="single" w:color="auto" w:sz="4" w:space="0"/>
              <w:left w:val="single" w:color="auto" w:sz="4" w:space="0"/>
              <w:bottom w:val="single" w:color="auto" w:sz="4" w:space="0"/>
              <w:right w:val="single" w:color="auto" w:sz="4" w:space="0"/>
            </w:tcBorders>
            <w:vAlign w:val="center"/>
          </w:tcPr>
          <w:p w14:paraId="10CC2545">
            <w:pPr>
              <w:jc w:val="center"/>
              <w:rPr>
                <w:rFonts w:hint="eastAsia" w:ascii="仿宋" w:hAnsi="仿宋" w:eastAsia="仿宋"/>
                <w:kern w:val="0"/>
                <w:sz w:val="28"/>
                <w:szCs w:val="32"/>
                <w:lang w:val="en-US" w:eastAsia="zh-CN"/>
              </w:rPr>
            </w:pPr>
            <w:r>
              <w:rPr>
                <w:rFonts w:hint="eastAsia" w:ascii="仿宋" w:hAnsi="仿宋" w:eastAsia="仿宋"/>
                <w:kern w:val="0"/>
                <w:sz w:val="28"/>
                <w:szCs w:val="32"/>
                <w:lang w:val="en-US" w:eastAsia="zh-CN"/>
              </w:rPr>
              <w:drawing>
                <wp:inline distT="0" distB="0" distL="114300" distR="114300">
                  <wp:extent cx="2141220" cy="2854960"/>
                  <wp:effectExtent l="0" t="0" r="17780" b="15240"/>
                  <wp:docPr id="15" name="图片 15"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427"/>
                          <pic:cNvPicPr>
                            <a:picLocks noChangeAspect="1"/>
                          </pic:cNvPicPr>
                        </pic:nvPicPr>
                        <pic:blipFill>
                          <a:blip r:embed="rId13"/>
                          <a:stretch>
                            <a:fillRect/>
                          </a:stretch>
                        </pic:blipFill>
                        <pic:spPr>
                          <a:xfrm>
                            <a:off x="0" y="0"/>
                            <a:ext cx="2141220" cy="2854960"/>
                          </a:xfrm>
                          <a:prstGeom prst="rect">
                            <a:avLst/>
                          </a:prstGeom>
                        </pic:spPr>
                      </pic:pic>
                    </a:graphicData>
                  </a:graphic>
                </wp:inline>
              </w:drawing>
            </w:r>
          </w:p>
        </w:tc>
      </w:tr>
      <w:tr w14:paraId="0BE64DE7">
        <w:tc>
          <w:tcPr>
            <w:tcW w:w="5000" w:type="pct"/>
            <w:gridSpan w:val="3"/>
            <w:tcBorders>
              <w:top w:val="single" w:color="auto" w:sz="4" w:space="0"/>
              <w:left w:val="single" w:color="auto" w:sz="4" w:space="0"/>
              <w:bottom w:val="single" w:color="auto" w:sz="4" w:space="0"/>
              <w:right w:val="single" w:color="auto" w:sz="4" w:space="0"/>
            </w:tcBorders>
            <w:vAlign w:val="center"/>
          </w:tcPr>
          <w:p w14:paraId="0098693A">
            <w:pPr>
              <w:jc w:val="center"/>
              <w:rPr>
                <w:rFonts w:hint="eastAsia" w:ascii="仿宋" w:hAnsi="仿宋" w:eastAsia="仿宋"/>
                <w:kern w:val="0"/>
                <w:sz w:val="28"/>
                <w:szCs w:val="32"/>
              </w:rPr>
            </w:pPr>
            <w:r>
              <w:rPr>
                <w:rFonts w:ascii="仿宋" w:hAnsi="仿宋" w:eastAsia="仿宋" w:cs="仿宋"/>
                <w:color w:val="000000"/>
                <w:kern w:val="0"/>
                <w:szCs w:val="21"/>
              </w:rPr>
              <w:drawing>
                <wp:inline distT="0" distB="0" distL="114300" distR="114300">
                  <wp:extent cx="3609340" cy="2997200"/>
                  <wp:effectExtent l="0" t="0" r="22860" b="0"/>
                  <wp:docPr id="13" name="图片 7" descr="Screenshot 2023-07-03 at 4.49.5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Screenshot 2023-07-03 at 4.49.56 PM"/>
                          <pic:cNvPicPr>
                            <a:picLocks noChangeAspect="1"/>
                          </pic:cNvPicPr>
                        </pic:nvPicPr>
                        <pic:blipFill>
                          <a:blip r:embed="rId14"/>
                          <a:stretch>
                            <a:fillRect/>
                          </a:stretch>
                        </pic:blipFill>
                        <pic:spPr>
                          <a:xfrm>
                            <a:off x="0" y="0"/>
                            <a:ext cx="3609340" cy="2997200"/>
                          </a:xfrm>
                          <a:prstGeom prst="rect">
                            <a:avLst/>
                          </a:prstGeom>
                        </pic:spPr>
                      </pic:pic>
                    </a:graphicData>
                  </a:graphic>
                </wp:inline>
              </w:drawing>
            </w:r>
          </w:p>
          <w:p w14:paraId="5CF54224">
            <w:pPr>
              <w:jc w:val="center"/>
              <w:rPr>
                <w:rFonts w:ascii="仿宋" w:hAnsi="仿宋" w:eastAsia="仿宋"/>
                <w:kern w:val="0"/>
                <w:sz w:val="28"/>
                <w:szCs w:val="32"/>
              </w:rPr>
            </w:pPr>
            <w:r>
              <w:rPr>
                <w:rFonts w:hint="eastAsia" w:ascii="仿宋" w:hAnsi="仿宋" w:eastAsia="仿宋"/>
                <w:kern w:val="0"/>
                <w:sz w:val="28"/>
                <w:szCs w:val="32"/>
              </w:rPr>
              <w:t>周边交通配套</w:t>
            </w:r>
          </w:p>
        </w:tc>
      </w:tr>
      <w:tr w14:paraId="5AC154AA">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EE1C419">
            <w:pPr>
              <w:jc w:val="left"/>
              <w:rPr>
                <w:rFonts w:hint="eastAsia" w:ascii="Times New Roman" w:hAnsi="Times New Roman" w:eastAsia="仿宋_GB2312" w:cs="仿宋_GB2312"/>
                <w:b w:val="0"/>
                <w:bCs/>
                <w:kern w:val="2"/>
                <w:sz w:val="28"/>
                <w:szCs w:val="28"/>
                <w:highlight w:val="none"/>
                <w:lang w:val="en-US" w:eastAsia="zh-CN" w:bidi="ar-SA"/>
              </w:rPr>
            </w:pPr>
            <w:r>
              <w:rPr>
                <w:rFonts w:hint="eastAsia" w:ascii="Times New Roman" w:hAnsi="Times New Roman" w:eastAsia="仿宋_GB2312" w:cs="仿宋_GB2312"/>
                <w:b/>
                <w:bCs/>
                <w:color w:val="000000"/>
                <w:kern w:val="0"/>
                <w:sz w:val="28"/>
                <w:szCs w:val="28"/>
                <w:highlight w:val="none"/>
                <w:lang w:val="en-US" w:eastAsia="zh-CN" w:bidi="ar-SA"/>
              </w:rPr>
              <w:t>（4）广州白云区齐富路商铺</w:t>
            </w:r>
          </w:p>
        </w:tc>
      </w:tr>
      <w:tr w14:paraId="6D871D38">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7DBC719">
            <w:pPr>
              <w:jc w:val="center"/>
              <w:rPr>
                <w:rFonts w:ascii="仿宋" w:hAnsi="仿宋" w:eastAsia="仿宋"/>
                <w:kern w:val="0"/>
                <w:sz w:val="28"/>
                <w:szCs w:val="32"/>
              </w:rPr>
            </w:pPr>
            <w:r>
              <w:rPr>
                <w:rFonts w:hint="eastAsia" w:ascii="仿宋" w:hAnsi="仿宋" w:eastAsia="仿宋"/>
                <w:kern w:val="0"/>
                <w:sz w:val="28"/>
                <w:szCs w:val="32"/>
              </w:rPr>
              <w:drawing>
                <wp:inline distT="0" distB="0" distL="114300" distR="114300">
                  <wp:extent cx="3510280" cy="4680585"/>
                  <wp:effectExtent l="0" t="0" r="18415" b="20320"/>
                  <wp:docPr id="6" name="图片 3" descr="IMG_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0446"/>
                          <pic:cNvPicPr>
                            <a:picLocks noChangeAspect="1"/>
                          </pic:cNvPicPr>
                        </pic:nvPicPr>
                        <pic:blipFill>
                          <a:blip r:embed="rId15"/>
                          <a:stretch>
                            <a:fillRect/>
                          </a:stretch>
                        </pic:blipFill>
                        <pic:spPr>
                          <a:xfrm rot="16200000">
                            <a:off x="0" y="0"/>
                            <a:ext cx="3510280" cy="4680585"/>
                          </a:xfrm>
                          <a:prstGeom prst="rect">
                            <a:avLst/>
                          </a:prstGeom>
                        </pic:spPr>
                      </pic:pic>
                    </a:graphicData>
                  </a:graphic>
                </wp:inline>
              </w:drawing>
            </w:r>
          </w:p>
          <w:p w14:paraId="0E382C15">
            <w:pPr>
              <w:jc w:val="center"/>
              <w:rPr>
                <w:rFonts w:hint="eastAsia" w:ascii="Times New Roman" w:hAnsi="Times New Roman" w:eastAsia="仿宋_GB2312" w:cs="仿宋_GB2312"/>
                <w:b w:val="0"/>
                <w:bCs/>
                <w:kern w:val="2"/>
                <w:sz w:val="28"/>
                <w:szCs w:val="28"/>
                <w:highlight w:val="none"/>
                <w:lang w:val="en-US" w:eastAsia="zh-CN" w:bidi="ar-SA"/>
              </w:rPr>
            </w:pPr>
            <w:r>
              <w:rPr>
                <w:rFonts w:hint="eastAsia" w:ascii="仿宋" w:hAnsi="仿宋" w:eastAsia="仿宋"/>
                <w:kern w:val="0"/>
                <w:sz w:val="28"/>
                <w:szCs w:val="32"/>
              </w:rPr>
              <w:t>商铺整体照片</w:t>
            </w:r>
          </w:p>
        </w:tc>
      </w:tr>
      <w:tr w14:paraId="37427763">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AB13784">
            <w:pPr>
              <w:jc w:val="center"/>
              <w:rPr>
                <w:rFonts w:ascii="仿宋" w:hAnsi="仿宋" w:eastAsia="仿宋"/>
                <w:kern w:val="0"/>
                <w:sz w:val="28"/>
                <w:szCs w:val="32"/>
              </w:rPr>
            </w:pPr>
            <w:r>
              <w:rPr>
                <w:rFonts w:ascii="仿宋" w:hAnsi="仿宋" w:eastAsia="仿宋" w:cs="仿宋"/>
                <w:b/>
                <w:sz w:val="28"/>
                <w:szCs w:val="28"/>
              </w:rPr>
              <w:drawing>
                <wp:inline distT="0" distB="0" distL="114300" distR="114300">
                  <wp:extent cx="4180205" cy="3195955"/>
                  <wp:effectExtent l="0" t="0" r="10795" b="4445"/>
                  <wp:docPr id="7" name="图片 12" descr="Screenshot 2023-07-03 at 4.51.4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Screenshot 2023-07-03 at 4.51.44 PM"/>
                          <pic:cNvPicPr>
                            <a:picLocks noChangeAspect="1"/>
                          </pic:cNvPicPr>
                        </pic:nvPicPr>
                        <pic:blipFill>
                          <a:blip r:embed="rId16"/>
                          <a:stretch>
                            <a:fillRect/>
                          </a:stretch>
                        </pic:blipFill>
                        <pic:spPr>
                          <a:xfrm>
                            <a:off x="0" y="0"/>
                            <a:ext cx="4180205" cy="3195955"/>
                          </a:xfrm>
                          <a:prstGeom prst="rect">
                            <a:avLst/>
                          </a:prstGeom>
                        </pic:spPr>
                      </pic:pic>
                    </a:graphicData>
                  </a:graphic>
                </wp:inline>
              </w:drawing>
            </w:r>
          </w:p>
          <w:p w14:paraId="56BDD71E">
            <w:pPr>
              <w:jc w:val="center"/>
              <w:rPr>
                <w:rFonts w:hint="eastAsia" w:ascii="Times New Roman" w:hAnsi="Times New Roman" w:eastAsia="仿宋_GB2312" w:cs="仿宋_GB2312"/>
                <w:b w:val="0"/>
                <w:bCs/>
                <w:kern w:val="2"/>
                <w:sz w:val="28"/>
                <w:szCs w:val="28"/>
                <w:highlight w:val="none"/>
                <w:lang w:val="en-US" w:eastAsia="zh-CN" w:bidi="ar-SA"/>
              </w:rPr>
            </w:pPr>
            <w:r>
              <w:rPr>
                <w:rFonts w:hint="eastAsia" w:ascii="仿宋" w:hAnsi="仿宋" w:eastAsia="仿宋"/>
                <w:kern w:val="0"/>
                <w:sz w:val="28"/>
                <w:szCs w:val="32"/>
              </w:rPr>
              <w:t>周边交通配套</w:t>
            </w:r>
          </w:p>
        </w:tc>
      </w:tr>
    </w:tbl>
    <w:p w14:paraId="2539B2E0">
      <w:pPr>
        <w:rPr>
          <w:rFonts w:hint="eastAsia" w:ascii="仿宋" w:hAnsi="仿宋" w:eastAsia="仿宋" w:cs="Times New Roman"/>
          <w:bCs/>
          <w:kern w:val="0"/>
          <w:sz w:val="28"/>
          <w:szCs w:val="32"/>
        </w:rPr>
      </w:pPr>
    </w:p>
    <w:p w14:paraId="2F815000">
      <w:pPr>
        <w:pStyle w:val="10"/>
        <w:widowControl/>
        <w:spacing w:line="360" w:lineRule="atLeast"/>
        <w:ind w:firstLine="703"/>
        <w:rPr>
          <w:rFonts w:hint="eastAsia" w:ascii="仿宋_GB2312" w:hAnsi="仿宋" w:eastAsia="仿宋_GB2312" w:cs="仿宋"/>
          <w:sz w:val="28"/>
          <w:szCs w:val="28"/>
        </w:rPr>
      </w:pPr>
      <w:r>
        <w:rPr>
          <w:rFonts w:hint="eastAsia" w:ascii="仿宋_GB2312" w:hAnsi="仿宋" w:eastAsia="仿宋_GB2312" w:cs="仿宋"/>
          <w:b/>
          <w:bCs/>
          <w:color w:val="000000"/>
          <w:sz w:val="28"/>
          <w:szCs w:val="28"/>
        </w:rPr>
        <w:t>注：</w:t>
      </w:r>
      <w:r>
        <w:rPr>
          <w:rFonts w:hint="eastAsia" w:ascii="仿宋_GB2312" w:hAnsi="仿宋" w:eastAsia="仿宋_GB2312" w:cs="仿宋"/>
          <w:color w:val="000000"/>
          <w:sz w:val="28"/>
          <w:szCs w:val="28"/>
        </w:rPr>
        <w:t>1.本清单仅列示截至【</w:t>
      </w:r>
      <w:r>
        <w:rPr>
          <w:rFonts w:hint="eastAsia" w:ascii="仿宋_GB2312" w:hAnsi="仿宋" w:eastAsia="仿宋_GB2312" w:cs="仿宋"/>
          <w:color w:val="000000"/>
          <w:sz w:val="28"/>
          <w:szCs w:val="28"/>
          <w:lang w:val="en-US" w:eastAsia="zh-CN"/>
        </w:rPr>
        <w:t>2025</w:t>
      </w:r>
      <w:r>
        <w:rPr>
          <w:rFonts w:hint="eastAsia" w:ascii="仿宋_GB2312" w:hAnsi="仿宋" w:eastAsia="仿宋_GB2312" w:cs="仿宋"/>
          <w:color w:val="000000"/>
          <w:sz w:val="28"/>
          <w:szCs w:val="28"/>
        </w:rPr>
        <w:t>】年【</w:t>
      </w:r>
      <w:r>
        <w:rPr>
          <w:rFonts w:hint="eastAsia" w:ascii="仿宋_GB2312" w:hAnsi="仿宋" w:eastAsia="仿宋_GB2312" w:cs="仿宋"/>
          <w:color w:val="000000"/>
          <w:sz w:val="28"/>
          <w:szCs w:val="28"/>
          <w:lang w:val="en-US" w:eastAsia="zh-CN"/>
        </w:rPr>
        <w:t>12</w:t>
      </w:r>
      <w:r>
        <w:rPr>
          <w:rFonts w:hint="eastAsia" w:ascii="仿宋_GB2312" w:hAnsi="仿宋" w:eastAsia="仿宋_GB2312" w:cs="仿宋"/>
          <w:color w:val="000000"/>
          <w:sz w:val="28"/>
          <w:szCs w:val="28"/>
        </w:rPr>
        <w:t>】月【</w:t>
      </w:r>
      <w:r>
        <w:rPr>
          <w:rFonts w:hint="eastAsia" w:ascii="仿宋_GB2312" w:hAnsi="仿宋" w:eastAsia="仿宋_GB2312" w:cs="仿宋"/>
          <w:color w:val="000000"/>
          <w:sz w:val="28"/>
          <w:szCs w:val="28"/>
          <w:lang w:val="en-US" w:eastAsia="zh-CN"/>
        </w:rPr>
        <w:t>31</w:t>
      </w:r>
      <w:r>
        <w:rPr>
          <w:rFonts w:hint="eastAsia" w:ascii="仿宋_GB2312" w:hAnsi="仿宋" w:eastAsia="仿宋_GB2312" w:cs="仿宋"/>
          <w:color w:val="000000"/>
          <w:sz w:val="28"/>
          <w:szCs w:val="28"/>
        </w:rPr>
        <w:t>】日的债权本金，债务人和担保人应支付给我司的利息、罚息、复利、违约金及其它应付款，按借款合同、担保合同及中国人民银行的有关规定或生效法律文书确定的方法计算；</w:t>
      </w:r>
    </w:p>
    <w:p w14:paraId="0EE6D8AF">
      <w:pPr>
        <w:pStyle w:val="10"/>
        <w:widowControl/>
        <w:spacing w:line="360" w:lineRule="atLeast"/>
        <w:ind w:firstLine="560" w:firstLineChars="20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2.若债务人、担保人因各种原因更名、改制、歇业、吊销营业执照或丧失民事主体资格的，请相关承债主体或主管部门代为履行义务或履行清算责任；</w:t>
      </w:r>
    </w:p>
    <w:p w14:paraId="49136C65">
      <w:pPr>
        <w:pStyle w:val="10"/>
        <w:widowControl/>
        <w:spacing w:line="360" w:lineRule="atLeas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3.以上内容如有错漏，以债务人、担保人等原已签署的交易合同</w:t>
      </w:r>
      <w:r>
        <w:rPr>
          <w:rFonts w:hint="eastAsia" w:ascii="仿宋" w:hAnsi="仿宋" w:cs="仿宋"/>
          <w:sz w:val="28"/>
          <w:szCs w:val="28"/>
          <w:shd w:val="clear" w:color="auto" w:fill="FFFFFF"/>
          <w:lang w:bidi="ar"/>
        </w:rPr>
        <w:t>及/或生效法律文书等相关法律文件</w:t>
      </w:r>
      <w:r>
        <w:rPr>
          <w:rFonts w:hint="eastAsia" w:ascii="仿宋_GB2312" w:hAnsi="仿宋" w:eastAsia="仿宋_GB2312" w:cs="仿宋"/>
          <w:color w:val="000000"/>
          <w:sz w:val="28"/>
          <w:szCs w:val="28"/>
        </w:rPr>
        <w:t>为准；</w:t>
      </w:r>
    </w:p>
    <w:p w14:paraId="136E10BA">
      <w:pPr>
        <w:pStyle w:val="10"/>
        <w:widowControl/>
        <w:spacing w:line="360" w:lineRule="atLeast"/>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4.</w:t>
      </w:r>
      <w:r>
        <w:rPr>
          <w:rFonts w:hint="eastAsia" w:ascii="仿宋_GB2312" w:hAnsi="仿宋" w:eastAsia="仿宋_GB2312" w:cs="仿宋"/>
          <w:color w:val="2B2B2B"/>
          <w:sz w:val="28"/>
          <w:szCs w:val="28"/>
          <w:shd w:val="clear" w:color="auto" w:fill="FFFFFF"/>
        </w:rPr>
        <w:t>资产介绍及照片内容仅供参考,我司不对其承担任何法律责任。</w:t>
      </w:r>
    </w:p>
    <w:p w14:paraId="46D68A38">
      <w:pPr>
        <w:rPr>
          <w:rFonts w:hint="eastAsia" w:ascii="仿宋" w:hAnsi="仿宋" w:eastAsia="仿宋" w:cs="Times New Roman"/>
          <w:bCs/>
          <w:kern w:val="0"/>
          <w:sz w:val="28"/>
          <w:szCs w:val="32"/>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SimHei">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0000000000000000000"/>
    <w:charset w:val="00"/>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等线 Light">
    <w:altName w:val="汉仪中等线KW"/>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华文中宋">
    <w:altName w:val="汉仪书宋二KW"/>
    <w:panose1 w:val="02010600040101010101"/>
    <w:charset w:val="86"/>
    <w:family w:val="auto"/>
    <w:pitch w:val="default"/>
    <w:sig w:usb0="00000000" w:usb1="00000000" w:usb2="00000010" w:usb3="00000000" w:csb0="0004009F" w:csb1="00000000"/>
  </w:font>
  <w:font w:name="Times New Roman Regular">
    <w:panose1 w:val="02020503050405090304"/>
    <w:charset w:val="00"/>
    <w:family w:val="auto"/>
    <w:pitch w:val="default"/>
    <w:sig w:usb0="E0000AFF" w:usb1="00007843" w:usb2="00000001" w:usb3="00000000" w:csb0="400001BF" w:csb1="DFF70000"/>
  </w:font>
  <w:font w:name="FangSong">
    <w:panose1 w:val="02010609060101010101"/>
    <w:charset w:val="86"/>
    <w:family w:val="modern"/>
    <w:pitch w:val="default"/>
    <w:sig w:usb0="800002BF" w:usb1="38CF7CFA" w:usb2="00000016" w:usb3="00000000" w:csb0="00040001" w:csb1="00000000"/>
  </w:font>
  <w:font w:name="Times New Roman Bold">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3BBE45"/>
    <w:multiLevelType w:val="singleLevel"/>
    <w:tmpl w:val="FF3BBE4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91D"/>
    <w:rsid w:val="00293D52"/>
    <w:rsid w:val="002A1E6C"/>
    <w:rsid w:val="002A6D2F"/>
    <w:rsid w:val="002B3A7A"/>
    <w:rsid w:val="002D627C"/>
    <w:rsid w:val="002F6A0E"/>
    <w:rsid w:val="003015C3"/>
    <w:rsid w:val="003312C6"/>
    <w:rsid w:val="00331794"/>
    <w:rsid w:val="00335870"/>
    <w:rsid w:val="00340885"/>
    <w:rsid w:val="003432BA"/>
    <w:rsid w:val="00352720"/>
    <w:rsid w:val="00374013"/>
    <w:rsid w:val="00375035"/>
    <w:rsid w:val="003A54C9"/>
    <w:rsid w:val="003B5353"/>
    <w:rsid w:val="003F1F80"/>
    <w:rsid w:val="00407EC4"/>
    <w:rsid w:val="00420A4A"/>
    <w:rsid w:val="004274AA"/>
    <w:rsid w:val="004409FB"/>
    <w:rsid w:val="004419DD"/>
    <w:rsid w:val="00445B78"/>
    <w:rsid w:val="00454104"/>
    <w:rsid w:val="00454B4B"/>
    <w:rsid w:val="00474DA8"/>
    <w:rsid w:val="00476271"/>
    <w:rsid w:val="004A65BF"/>
    <w:rsid w:val="004B51A9"/>
    <w:rsid w:val="004C3139"/>
    <w:rsid w:val="004D1FCE"/>
    <w:rsid w:val="004D5513"/>
    <w:rsid w:val="004E4FC4"/>
    <w:rsid w:val="0050728C"/>
    <w:rsid w:val="00513035"/>
    <w:rsid w:val="0052494A"/>
    <w:rsid w:val="00531F97"/>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9204F6"/>
    <w:rsid w:val="00951B13"/>
    <w:rsid w:val="00954055"/>
    <w:rsid w:val="00965DC6"/>
    <w:rsid w:val="00981CAD"/>
    <w:rsid w:val="00A44DA2"/>
    <w:rsid w:val="00A63A59"/>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2AD9"/>
    <w:rsid w:val="00CA2871"/>
    <w:rsid w:val="00CB128F"/>
    <w:rsid w:val="00CB450F"/>
    <w:rsid w:val="00CD4E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F020DD"/>
    <w:rsid w:val="00F16178"/>
    <w:rsid w:val="00F2029A"/>
    <w:rsid w:val="00F241B2"/>
    <w:rsid w:val="00F25AB1"/>
    <w:rsid w:val="00F36E9E"/>
    <w:rsid w:val="00F41889"/>
    <w:rsid w:val="00F54E14"/>
    <w:rsid w:val="00F56126"/>
    <w:rsid w:val="00F60C22"/>
    <w:rsid w:val="00F76F6F"/>
    <w:rsid w:val="00FA7D7E"/>
    <w:rsid w:val="00FB3DC9"/>
    <w:rsid w:val="00FB7173"/>
    <w:rsid w:val="00FC29CC"/>
    <w:rsid w:val="00FE70EB"/>
    <w:rsid w:val="3BE7282F"/>
    <w:rsid w:val="3C377FE9"/>
    <w:rsid w:val="3E7DE972"/>
    <w:rsid w:val="3EB90695"/>
    <w:rsid w:val="4F579FDF"/>
    <w:rsid w:val="5CEBE637"/>
    <w:rsid w:val="69BF83FD"/>
    <w:rsid w:val="6BED8A8C"/>
    <w:rsid w:val="6FBFFBE4"/>
    <w:rsid w:val="74E77EA0"/>
    <w:rsid w:val="77DF345E"/>
    <w:rsid w:val="77FCF673"/>
    <w:rsid w:val="79C77851"/>
    <w:rsid w:val="8FDFA2CA"/>
    <w:rsid w:val="DCEFC96E"/>
    <w:rsid w:val="F6CF1461"/>
    <w:rsid w:val="F77EA65C"/>
    <w:rsid w:val="F7DF2E9B"/>
    <w:rsid w:val="FFD77D76"/>
    <w:rsid w:val="FFDF2D8A"/>
    <w:rsid w:val="FFFDAC66"/>
    <w:rsid w:val="FFFE1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0"/>
    <w:pPr>
      <w:keepNext/>
      <w:keepLines/>
      <w:spacing w:before="340" w:after="330" w:line="578" w:lineRule="auto"/>
      <w:outlineLvl w:val="0"/>
    </w:pPr>
    <w:rPr>
      <w:rFonts w:ascii="Times New Roman" w:hAnsi="Times New Roman" w:eastAsia="SimSun" w:cs="Times New Roman"/>
      <w:b/>
      <w:bCs/>
      <w:kern w:val="44"/>
      <w:sz w:val="44"/>
      <w:szCs w:val="44"/>
    </w:rPr>
  </w:style>
  <w:style w:type="paragraph" w:styleId="3">
    <w:name w:val="heading 2"/>
    <w:basedOn w:val="1"/>
    <w:next w:val="1"/>
    <w:link w:val="25"/>
    <w:unhideWhenUsed/>
    <w:qFormat/>
    <w:uiPriority w:val="0"/>
    <w:pPr>
      <w:keepNext/>
      <w:keepLines/>
      <w:spacing w:before="260" w:after="260" w:line="413" w:lineRule="auto"/>
      <w:outlineLvl w:val="1"/>
    </w:pPr>
    <w:rPr>
      <w:rFonts w:ascii="Arial" w:hAnsi="Arial" w:eastAsia="SimHei" w:cs="Times New Roman"/>
      <w:b/>
      <w:sz w:val="32"/>
      <w:szCs w:val="24"/>
    </w:rPr>
  </w:style>
  <w:style w:type="paragraph" w:styleId="4">
    <w:name w:val="heading 3"/>
    <w:basedOn w:val="1"/>
    <w:next w:val="1"/>
    <w:link w:val="26"/>
    <w:unhideWhenUsed/>
    <w:qFormat/>
    <w:uiPriority w:val="0"/>
    <w:pPr>
      <w:keepNext/>
      <w:keepLines/>
      <w:spacing w:before="260" w:after="260" w:line="413" w:lineRule="auto"/>
      <w:outlineLvl w:val="2"/>
    </w:pPr>
    <w:rPr>
      <w:rFonts w:ascii="Times New Roman" w:hAnsi="Times New Roman" w:eastAsia="SimSun" w:cs="Times New Roman"/>
      <w:b/>
      <w:sz w:val="32"/>
      <w:szCs w:val="24"/>
    </w:rPr>
  </w:style>
  <w:style w:type="paragraph" w:styleId="5">
    <w:name w:val="heading 4"/>
    <w:basedOn w:val="1"/>
    <w:next w:val="1"/>
    <w:link w:val="2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1"/>
    <w:unhideWhenUsed/>
    <w:qFormat/>
    <w:uiPriority w:val="0"/>
    <w:pPr>
      <w:jc w:val="left"/>
    </w:pPr>
  </w:style>
  <w:style w:type="paragraph" w:styleId="7">
    <w:name w:val="Balloon Text"/>
    <w:basedOn w:val="1"/>
    <w:link w:val="23"/>
    <w:unhideWhenUsed/>
    <w:qFormat/>
    <w:uiPriority w:val="0"/>
    <w:rPr>
      <w:sz w:val="18"/>
      <w:szCs w:val="18"/>
    </w:rPr>
  </w:style>
  <w:style w:type="paragraph" w:styleId="8">
    <w:name w:val="footer"/>
    <w:basedOn w:val="1"/>
    <w:link w:val="19"/>
    <w:unhideWhenUsed/>
    <w:qFormat/>
    <w:uiPriority w:val="0"/>
    <w:pPr>
      <w:tabs>
        <w:tab w:val="center" w:pos="4153"/>
        <w:tab w:val="right" w:pos="8306"/>
      </w:tabs>
      <w:snapToGrid w:val="0"/>
      <w:jc w:val="left"/>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0"/>
    <w:pPr>
      <w:spacing w:line="360" w:lineRule="auto"/>
      <w:ind w:firstLine="700" w:firstLineChars="250"/>
    </w:pPr>
    <w:rPr>
      <w:rFonts w:ascii="Times New Roman" w:hAnsi="Times New Roman" w:eastAsia="仿宋" w:cs="Times New Roman"/>
      <w:sz w:val="24"/>
      <w:szCs w:val="24"/>
    </w:rPr>
  </w:style>
  <w:style w:type="paragraph" w:styleId="11">
    <w:name w:val="annotation subject"/>
    <w:basedOn w:val="6"/>
    <w:next w:val="6"/>
    <w:link w:val="22"/>
    <w:unhideWhenUsed/>
    <w:qFormat/>
    <w:uiPriority w:val="0"/>
    <w:rPr>
      <w:b/>
      <w:bCs/>
    </w:rPr>
  </w:style>
  <w:style w:type="table" w:styleId="13">
    <w:name w:val="Table Grid"/>
    <w:basedOn w:val="12"/>
    <w:qFormat/>
    <w:uiPriority w:val="39"/>
    <w:pPr>
      <w:widowControl w:val="0"/>
      <w:jc w:val="both"/>
    </w:pPr>
    <w:rPr>
      <w:rFonts w:ascii="Times New Roman" w:hAnsi="Times New Roman" w:eastAsia="SimSu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semiHidden/>
    <w:unhideWhenUsed/>
    <w:uiPriority w:val="99"/>
    <w:rPr>
      <w:color w:val="800080"/>
      <w:u w:val="single"/>
    </w:rPr>
  </w:style>
  <w:style w:type="character" w:styleId="16">
    <w:name w:val="Hyperlink"/>
    <w:basedOn w:val="14"/>
    <w:semiHidden/>
    <w:unhideWhenUsed/>
    <w:uiPriority w:val="99"/>
    <w:rPr>
      <w:color w:val="0000FF"/>
      <w:u w:val="single"/>
    </w:rPr>
  </w:style>
  <w:style w:type="character" w:styleId="17">
    <w:name w:val="annotation reference"/>
    <w:basedOn w:val="14"/>
    <w:unhideWhenUsed/>
    <w:qFormat/>
    <w:uiPriority w:val="0"/>
    <w:rPr>
      <w:sz w:val="21"/>
      <w:szCs w:val="21"/>
    </w:rPr>
  </w:style>
  <w:style w:type="character" w:customStyle="1" w:styleId="18">
    <w:name w:val="页眉 字符"/>
    <w:basedOn w:val="14"/>
    <w:link w:val="9"/>
    <w:uiPriority w:val="99"/>
    <w:rPr>
      <w:sz w:val="18"/>
      <w:szCs w:val="18"/>
    </w:rPr>
  </w:style>
  <w:style w:type="character" w:customStyle="1" w:styleId="19">
    <w:name w:val="页脚 字符"/>
    <w:basedOn w:val="14"/>
    <w:link w:val="8"/>
    <w:uiPriority w:val="99"/>
    <w:rPr>
      <w:sz w:val="18"/>
      <w:szCs w:val="18"/>
    </w:rPr>
  </w:style>
  <w:style w:type="paragraph" w:styleId="20">
    <w:name w:val="List Paragraph"/>
    <w:basedOn w:val="1"/>
    <w:qFormat/>
    <w:uiPriority w:val="34"/>
    <w:pPr>
      <w:spacing w:line="360" w:lineRule="auto"/>
      <w:ind w:firstLine="420" w:firstLineChars="200"/>
    </w:pPr>
    <w:rPr>
      <w:rFonts w:ascii="仿宋" w:hAnsi="仿宋" w:eastAsia="仿宋" w:cs="Times New Roman"/>
      <w:sz w:val="28"/>
      <w:szCs w:val="28"/>
    </w:rPr>
  </w:style>
  <w:style w:type="character" w:customStyle="1" w:styleId="21">
    <w:name w:val="批注文字 字符"/>
    <w:basedOn w:val="14"/>
    <w:link w:val="6"/>
    <w:qFormat/>
    <w:uiPriority w:val="0"/>
  </w:style>
  <w:style w:type="character" w:customStyle="1" w:styleId="22">
    <w:name w:val="批注主题 字符"/>
    <w:basedOn w:val="21"/>
    <w:link w:val="11"/>
    <w:qFormat/>
    <w:uiPriority w:val="0"/>
    <w:rPr>
      <w:b/>
      <w:bCs/>
    </w:rPr>
  </w:style>
  <w:style w:type="character" w:customStyle="1" w:styleId="23">
    <w:name w:val="批注框文本 字符"/>
    <w:basedOn w:val="14"/>
    <w:link w:val="7"/>
    <w:qFormat/>
    <w:uiPriority w:val="0"/>
    <w:rPr>
      <w:sz w:val="18"/>
      <w:szCs w:val="18"/>
    </w:rPr>
  </w:style>
  <w:style w:type="character" w:customStyle="1" w:styleId="24">
    <w:name w:val="标题 1 字符"/>
    <w:basedOn w:val="14"/>
    <w:link w:val="2"/>
    <w:uiPriority w:val="0"/>
    <w:rPr>
      <w:rFonts w:ascii="Times New Roman" w:hAnsi="Times New Roman" w:eastAsia="SimSun" w:cs="Times New Roman"/>
      <w:b/>
      <w:bCs/>
      <w:kern w:val="44"/>
      <w:sz w:val="44"/>
      <w:szCs w:val="44"/>
    </w:rPr>
  </w:style>
  <w:style w:type="character" w:customStyle="1" w:styleId="25">
    <w:name w:val="标题 2 字符"/>
    <w:basedOn w:val="14"/>
    <w:link w:val="3"/>
    <w:uiPriority w:val="0"/>
    <w:rPr>
      <w:rFonts w:ascii="Arial" w:hAnsi="Arial" w:eastAsia="SimHei" w:cs="Times New Roman"/>
      <w:b/>
      <w:kern w:val="2"/>
      <w:sz w:val="32"/>
      <w:szCs w:val="24"/>
    </w:rPr>
  </w:style>
  <w:style w:type="character" w:customStyle="1" w:styleId="26">
    <w:name w:val="标题 3 字符"/>
    <w:basedOn w:val="14"/>
    <w:link w:val="4"/>
    <w:uiPriority w:val="0"/>
    <w:rPr>
      <w:rFonts w:ascii="Times New Roman" w:hAnsi="Times New Roman" w:eastAsia="SimSun" w:cs="Times New Roman"/>
      <w:b/>
      <w:kern w:val="2"/>
      <w:sz w:val="32"/>
      <w:szCs w:val="24"/>
    </w:rPr>
  </w:style>
  <w:style w:type="character" w:customStyle="1" w:styleId="27">
    <w:name w:val="标题 4 字符"/>
    <w:basedOn w:val="14"/>
    <w:link w:val="5"/>
    <w:semiHidden/>
    <w:uiPriority w:val="9"/>
    <w:rPr>
      <w:rFonts w:asciiTheme="majorHAnsi" w:hAnsiTheme="majorHAnsi" w:eastAsiaTheme="majorEastAsia" w:cstheme="majorBidi"/>
      <w:b/>
      <w:bCs/>
      <w:kern w:val="2"/>
      <w:sz w:val="28"/>
      <w:szCs w:val="28"/>
    </w:rPr>
  </w:style>
  <w:style w:type="table" w:customStyle="1" w:styleId="28">
    <w:name w:val="网格型6"/>
    <w:basedOn w:val="12"/>
    <w:qFormat/>
    <w:uiPriority w:val="0"/>
    <w:rPr>
      <w:rFonts w:ascii="Times New Roman" w:hAnsi="Times New Roman" w:eastAsia="SimSu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61"/>
    <w:basedOn w:val="12"/>
    <w:qFormat/>
    <w:uiPriority w:val="0"/>
    <w:rPr>
      <w:rFonts w:ascii="Times New Roman" w:hAnsi="Times New Roman" w:eastAsia="SimSu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msonormal"/>
    <w:basedOn w:val="1"/>
    <w:uiPriority w:val="0"/>
    <w:pPr>
      <w:widowControl/>
      <w:spacing w:before="100" w:beforeAutospacing="1" w:after="100" w:afterAutospacing="1"/>
      <w:jc w:val="left"/>
    </w:pPr>
    <w:rPr>
      <w:rFonts w:ascii="SimSun" w:hAnsi="SimSun" w:eastAsia="SimSun" w:cs="SimSun"/>
      <w:kern w:val="0"/>
      <w:sz w:val="24"/>
      <w:szCs w:val="24"/>
    </w:rPr>
  </w:style>
  <w:style w:type="paragraph" w:customStyle="1" w:styleId="31">
    <w:name w:val="font5"/>
    <w:basedOn w:val="1"/>
    <w:uiPriority w:val="0"/>
    <w:pPr>
      <w:widowControl/>
      <w:spacing w:before="100" w:beforeAutospacing="1" w:after="100" w:afterAutospacing="1"/>
      <w:jc w:val="left"/>
    </w:pPr>
    <w:rPr>
      <w:rFonts w:ascii="SimSun" w:hAnsi="SimSun" w:eastAsia="SimSun" w:cs="SimSun"/>
      <w:kern w:val="0"/>
      <w:sz w:val="18"/>
      <w:szCs w:val="18"/>
    </w:rPr>
  </w:style>
  <w:style w:type="paragraph" w:customStyle="1" w:styleId="32">
    <w:name w:val="xl68"/>
    <w:basedOn w:val="1"/>
    <w:uiPriority w:val="0"/>
    <w:pPr>
      <w:widowControl/>
      <w:spacing w:before="100" w:beforeAutospacing="1" w:after="100" w:afterAutospacing="1"/>
      <w:jc w:val="left"/>
    </w:pPr>
    <w:rPr>
      <w:rFonts w:ascii="仿宋" w:hAnsi="仿宋" w:eastAsia="仿宋" w:cs="SimSun"/>
      <w:kern w:val="0"/>
      <w:sz w:val="18"/>
      <w:szCs w:val="18"/>
    </w:rPr>
  </w:style>
  <w:style w:type="paragraph" w:customStyle="1" w:styleId="33">
    <w:name w:val="xl69"/>
    <w:basedOn w:val="1"/>
    <w:uiPriority w:val="0"/>
    <w:pPr>
      <w:widowControl/>
      <w:spacing w:before="100" w:beforeAutospacing="1" w:after="100" w:afterAutospacing="1"/>
      <w:jc w:val="left"/>
    </w:pPr>
    <w:rPr>
      <w:rFonts w:ascii="仿宋" w:hAnsi="仿宋" w:eastAsia="仿宋" w:cs="SimSun"/>
      <w:kern w:val="0"/>
      <w:sz w:val="24"/>
      <w:szCs w:val="24"/>
    </w:rPr>
  </w:style>
  <w:style w:type="paragraph" w:customStyle="1" w:styleId="34">
    <w:name w:val="xl70"/>
    <w:basedOn w:val="1"/>
    <w:uiPriority w:val="0"/>
    <w:pPr>
      <w:widowControl/>
      <w:spacing w:before="100" w:beforeAutospacing="1" w:after="100" w:afterAutospacing="1"/>
      <w:jc w:val="left"/>
    </w:pPr>
    <w:rPr>
      <w:rFonts w:ascii="仿宋" w:hAnsi="仿宋" w:eastAsia="仿宋" w:cs="SimSun"/>
      <w:kern w:val="0"/>
      <w:sz w:val="24"/>
      <w:szCs w:val="24"/>
    </w:rPr>
  </w:style>
  <w:style w:type="paragraph" w:customStyle="1" w:styleId="35">
    <w:name w:val="xl71"/>
    <w:basedOn w:val="1"/>
    <w:uiPriority w:val="0"/>
    <w:pPr>
      <w:widowControl/>
      <w:spacing w:before="100" w:beforeAutospacing="1" w:after="100" w:afterAutospacing="1"/>
      <w:jc w:val="left"/>
    </w:pPr>
    <w:rPr>
      <w:rFonts w:ascii="仿宋" w:hAnsi="仿宋" w:eastAsia="仿宋" w:cs="SimSun"/>
      <w:kern w:val="0"/>
      <w:sz w:val="24"/>
      <w:szCs w:val="24"/>
    </w:rPr>
  </w:style>
  <w:style w:type="paragraph" w:customStyle="1" w:styleId="36">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SimSun"/>
      <w:b/>
      <w:bCs/>
      <w:kern w:val="0"/>
      <w:sz w:val="18"/>
      <w:szCs w:val="18"/>
    </w:rPr>
  </w:style>
  <w:style w:type="paragraph" w:customStyle="1" w:styleId="37">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SimSun"/>
      <w:b/>
      <w:bCs/>
      <w:kern w:val="0"/>
      <w:sz w:val="18"/>
      <w:szCs w:val="18"/>
    </w:rPr>
  </w:style>
  <w:style w:type="paragraph" w:customStyle="1" w:styleId="38">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SimSun"/>
      <w:kern w:val="0"/>
      <w:sz w:val="18"/>
      <w:szCs w:val="18"/>
    </w:rPr>
  </w:style>
  <w:style w:type="paragraph" w:customStyle="1" w:styleId="39">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SimSun"/>
      <w:b/>
      <w:bCs/>
      <w:kern w:val="0"/>
      <w:sz w:val="28"/>
      <w:szCs w:val="28"/>
    </w:rPr>
  </w:style>
  <w:style w:type="paragraph" w:customStyle="1" w:styleId="40">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SimSun"/>
      <w:b/>
      <w:bCs/>
      <w:kern w:val="0"/>
      <w:sz w:val="28"/>
      <w:szCs w:val="28"/>
    </w:rPr>
  </w:style>
  <w:style w:type="paragraph" w:customStyle="1" w:styleId="41">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仿宋" w:hAnsi="仿宋" w:eastAsia="仿宋" w:cs="SimSun"/>
      <w:kern w:val="0"/>
      <w:sz w:val="18"/>
      <w:szCs w:val="18"/>
    </w:rPr>
  </w:style>
  <w:style w:type="paragraph" w:customStyle="1" w:styleId="42">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仿宋" w:hAnsi="仿宋" w:eastAsia="仿宋" w:cs="SimSun"/>
      <w:kern w:val="0"/>
      <w:sz w:val="18"/>
      <w:szCs w:val="18"/>
    </w:rPr>
  </w:style>
  <w:style w:type="table" w:customStyle="1" w:styleId="43">
    <w:name w:val="Grid Table Light"/>
    <w:basedOn w:val="12"/>
    <w:uiPriority w:val="40"/>
    <w:rPr>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4">
    <w:name w:val="正文正文"/>
    <w:basedOn w:val="1"/>
    <w:link w:val="45"/>
    <w:autoRedefine/>
    <w:qFormat/>
    <w:uiPriority w:val="0"/>
    <w:pPr>
      <w:jc w:val="left"/>
    </w:pPr>
    <w:rPr>
      <w:rFonts w:ascii="仿宋_GB2312" w:hAnsi="Times New Roman" w:eastAsia="仿宋_GB2312" w:cs="Times New Roman"/>
      <w:kern w:val="0"/>
      <w:szCs w:val="21"/>
    </w:rPr>
  </w:style>
  <w:style w:type="character" w:customStyle="1" w:styleId="45">
    <w:name w:val="正文正文 字符"/>
    <w:basedOn w:val="14"/>
    <w:link w:val="44"/>
    <w:uiPriority w:val="0"/>
    <w:rPr>
      <w:rFonts w:ascii="仿宋_GB2312" w:hAnsi="Times New Roman" w:eastAsia="仿宋_GB2312" w:cs="Times New Roman"/>
      <w:sz w:val="21"/>
      <w:szCs w:val="21"/>
    </w:rPr>
  </w:style>
  <w:style w:type="table" w:customStyle="1" w:styleId="46">
    <w:name w:val="网格型浅色1"/>
    <w:basedOn w:val="12"/>
    <w:qFormat/>
    <w:uiPriority w:val="40"/>
    <w:rPr>
      <w:rFonts w:ascii="Times New Roman" w:hAnsi="Times New Roman" w:eastAsia="SimSun"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7B6ADF4-0940-491A-801C-24EE4B1BA3E8}">
  <ds:schemaRefs/>
</ds:datastoreItem>
</file>

<file path=docProps/app.xml><?xml version="1.0" encoding="utf-8"?>
<Properties xmlns="http://schemas.openxmlformats.org/officeDocument/2006/extended-properties" xmlns:vt="http://schemas.openxmlformats.org/officeDocument/2006/docPropsVTypes">
  <Template>Normal</Template>
  <Pages>8</Pages>
  <Words>153</Words>
  <Characters>876</Characters>
  <Lines>7</Lines>
  <Paragraphs>2</Paragraphs>
  <TotalTime>0</TotalTime>
  <ScaleCrop>false</ScaleCrop>
  <LinksUpToDate>false</LinksUpToDate>
  <CharactersWithSpaces>1027</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2024-12-07T22:39:00Z</dcterms:created>
  <dc:creator>黄月琴</dc:creator>
  <cp:lastModifiedBy>广州资产</cp:lastModifiedBy>
  <cp:lastPrinted>2025-02-15T01:23:00Z</cp:lastPrinted>
  <dcterms:modified xsi:type="dcterms:W3CDTF">2026-01-26T15:22:50Z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742C725D436B4B439FC9D3F1A93B355E</vt:lpwstr>
  </property>
</Properties>
</file>